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39057" w14:textId="77777777" w:rsidR="009F29A9" w:rsidRDefault="009F29A9" w:rsidP="00F232A8">
      <w:pPr>
        <w:ind w:firstLine="708"/>
        <w:jc w:val="center"/>
        <w:rPr>
          <w:rFonts w:ascii="Arial" w:hAnsi="Arial" w:cs="Arial"/>
          <w:b/>
          <w:u w:val="single"/>
        </w:rPr>
      </w:pPr>
    </w:p>
    <w:p w14:paraId="7EDEC835" w14:textId="597C0A06" w:rsidR="00693ED3" w:rsidRDefault="00C535B5" w:rsidP="00693ED3">
      <w:pPr>
        <w:ind w:firstLine="708"/>
        <w:jc w:val="center"/>
        <w:rPr>
          <w:rFonts w:ascii="Arial" w:hAnsi="Arial" w:cs="Arial"/>
          <w:b/>
          <w:u w:val="single"/>
          <w:lang w:val="en-US"/>
        </w:rPr>
      </w:pPr>
      <w:r w:rsidRPr="00C535B5">
        <w:rPr>
          <w:rFonts w:ascii="Arial" w:hAnsi="Arial" w:cs="Arial"/>
          <w:b/>
          <w:u w:val="single"/>
          <w:lang w:val="en-US"/>
        </w:rPr>
        <w:t>DECLARATION OF ABSENCE OF INCOMPATIBILITY CAUSES</w:t>
      </w:r>
    </w:p>
    <w:p w14:paraId="484BE937" w14:textId="77777777" w:rsidR="00C535B5" w:rsidRPr="00C535B5" w:rsidRDefault="00C535B5" w:rsidP="00693ED3">
      <w:pPr>
        <w:ind w:firstLine="708"/>
        <w:jc w:val="center"/>
        <w:rPr>
          <w:rFonts w:ascii="Arial" w:hAnsi="Arial" w:cs="Arial"/>
          <w:b/>
          <w:u w:val="single"/>
          <w:lang w:val="en-US"/>
        </w:rPr>
      </w:pPr>
    </w:p>
    <w:p w14:paraId="1B06A3B9" w14:textId="1ECFCF81" w:rsidR="00C535B5" w:rsidRPr="00C535B5" w:rsidRDefault="00C535B5" w:rsidP="00693ED3">
      <w:pPr>
        <w:ind w:firstLine="708"/>
        <w:jc w:val="center"/>
        <w:rPr>
          <w:rFonts w:ascii="Arial" w:hAnsi="Arial" w:cs="Arial"/>
          <w:b/>
          <w:u w:val="single"/>
          <w:lang w:val="en-US"/>
        </w:rPr>
      </w:pPr>
      <w:r w:rsidRPr="00C535B5">
        <w:rPr>
          <w:rFonts w:ascii="Arial" w:hAnsi="Arial" w:cs="Arial"/>
          <w:b/>
          <w:u w:val="single"/>
          <w:lang w:val="en-US"/>
        </w:rPr>
        <w:t xml:space="preserve">SELF-DECLARATION IN LIEU OF A NOTARIAL DEED </w:t>
      </w:r>
    </w:p>
    <w:p w14:paraId="716F1C19" w14:textId="467B5378" w:rsidR="00693ED3" w:rsidRDefault="00C535B5" w:rsidP="00693ED3">
      <w:pPr>
        <w:ind w:firstLine="708"/>
        <w:jc w:val="center"/>
        <w:rPr>
          <w:rFonts w:ascii="Arial" w:hAnsi="Arial" w:cs="Arial"/>
          <w:b/>
          <w:u w:val="single"/>
          <w:lang w:val="en-US"/>
        </w:rPr>
      </w:pPr>
      <w:r w:rsidRPr="00C535B5">
        <w:rPr>
          <w:rFonts w:ascii="Arial" w:hAnsi="Arial" w:cs="Arial"/>
          <w:b/>
          <w:u w:val="single"/>
          <w:lang w:val="en-US"/>
        </w:rPr>
        <w:t>(Article 46 and 47, Presidential Decree of December 28, 2000, No. 445, as amended)</w:t>
      </w:r>
    </w:p>
    <w:p w14:paraId="6CBA03D7" w14:textId="77777777" w:rsidR="00C535B5" w:rsidRDefault="00C535B5" w:rsidP="00693ED3">
      <w:pPr>
        <w:pStyle w:val="PreformattatoHTML"/>
        <w:rPr>
          <w:rFonts w:ascii="Arial" w:hAnsi="Arial" w:cs="Arial"/>
          <w:sz w:val="22"/>
          <w:szCs w:val="22"/>
          <w:lang w:val="en-US"/>
        </w:rPr>
      </w:pPr>
    </w:p>
    <w:p w14:paraId="53369D64" w14:textId="3326A5F9" w:rsidR="00C535B5" w:rsidRPr="00C535B5" w:rsidRDefault="00C535B5" w:rsidP="00693ED3">
      <w:pPr>
        <w:pStyle w:val="PreformattatoHTML"/>
        <w:rPr>
          <w:rFonts w:ascii="Arial" w:hAnsi="Arial" w:cs="Arial"/>
          <w:sz w:val="22"/>
          <w:szCs w:val="22"/>
          <w:lang w:val="en-US"/>
        </w:rPr>
      </w:pPr>
      <w:r w:rsidRPr="00C535B5">
        <w:rPr>
          <w:rFonts w:ascii="Arial" w:hAnsi="Arial" w:cs="Arial"/>
          <w:sz w:val="22"/>
          <w:szCs w:val="22"/>
          <w:lang w:val="en-US"/>
        </w:rPr>
        <w:t>The Committee, aware that anyone who makes false statements is punishable under the Penal Code and special laws, in accordance with Article 76 of Presidential Decree No. 445/2000, after reviewing the list of candidates, declares not to be in any of the situations that require abstention from participation in the Committee. Specifically, there are no relationships of kinship or affinity up to the fourth degree, including marriage, nor any other situations of incompatibility between the Committee members and the candidates, as specified in Articles 51 and 52 of the Code of Civil Procedure.</w:t>
      </w:r>
    </w:p>
    <w:p w14:paraId="68985F74" w14:textId="77777777" w:rsidR="00F232A8" w:rsidRPr="00C535B5" w:rsidRDefault="00F232A8" w:rsidP="00693ED3">
      <w:pPr>
        <w:pStyle w:val="PreformattatoHTML"/>
        <w:rPr>
          <w:rFonts w:ascii="Arial" w:hAnsi="Arial" w:cs="Arial"/>
          <w:sz w:val="22"/>
          <w:szCs w:val="22"/>
          <w:lang w:val="en-US"/>
        </w:rPr>
      </w:pPr>
    </w:p>
    <w:p w14:paraId="7489A8C1" w14:textId="6C9BDF17" w:rsidR="00F232A8" w:rsidRPr="00C535B5" w:rsidRDefault="00C535B5" w:rsidP="00F232A8">
      <w:pPr>
        <w:ind w:firstLine="708"/>
        <w:jc w:val="center"/>
        <w:rPr>
          <w:rFonts w:ascii="Arial" w:hAnsi="Arial" w:cs="Arial"/>
          <w:b/>
          <w:bCs/>
          <w:u w:val="single"/>
          <w:lang w:val="en-US"/>
        </w:rPr>
      </w:pPr>
      <w:r w:rsidRPr="00C535B5">
        <w:rPr>
          <w:rFonts w:ascii="Arial" w:hAnsi="Arial" w:cs="Arial"/>
          <w:b/>
          <w:bCs/>
          <w:u w:val="single"/>
          <w:lang w:val="en-US"/>
        </w:rPr>
        <w:t>DECLARATION ACCORDING TO "FRAMEWORK FOR THE MANAGEMENT AND MONITORING OF PNRR PROJECTS"</w:t>
      </w:r>
      <w:r w:rsidR="00F232A8" w:rsidRPr="00C535B5">
        <w:rPr>
          <w:rFonts w:ascii="Arial" w:hAnsi="Arial" w:cs="Arial"/>
          <w:b/>
          <w:bCs/>
          <w:u w:val="single"/>
          <w:vertAlign w:val="superscript"/>
        </w:rPr>
        <w:footnoteReference w:id="1"/>
      </w:r>
    </w:p>
    <w:p w14:paraId="601BDBAA" w14:textId="77777777" w:rsidR="00F232A8" w:rsidRPr="00C535B5" w:rsidRDefault="00F232A8" w:rsidP="00F232A8">
      <w:pPr>
        <w:pStyle w:val="PreformattatoHTML"/>
        <w:rPr>
          <w:rFonts w:ascii="Arial" w:hAnsi="Arial" w:cs="Arial"/>
          <w:sz w:val="22"/>
          <w:szCs w:val="22"/>
          <w:lang w:val="en-US"/>
        </w:rPr>
      </w:pPr>
    </w:p>
    <w:p w14:paraId="2DE3EC95" w14:textId="63855931" w:rsidR="00C535B5" w:rsidRPr="00C535B5" w:rsidRDefault="00C535B5" w:rsidP="00C535B5">
      <w:pPr>
        <w:pStyle w:val="PreformattatoHTML"/>
        <w:rPr>
          <w:rFonts w:ascii="Arial" w:hAnsi="Arial" w:cs="Arial"/>
          <w:sz w:val="22"/>
          <w:szCs w:val="22"/>
          <w:lang w:val="en-US"/>
        </w:rPr>
      </w:pPr>
      <w:r w:rsidRPr="00C535B5">
        <w:rPr>
          <w:rFonts w:ascii="Arial" w:hAnsi="Arial" w:cs="Arial"/>
          <w:sz w:val="22"/>
          <w:szCs w:val="22"/>
          <w:lang w:val="en-US"/>
        </w:rPr>
        <w:t xml:space="preserve">The </w:t>
      </w:r>
      <w:r w:rsidR="003C6EC4" w:rsidRPr="00C535B5">
        <w:rPr>
          <w:rFonts w:ascii="Arial" w:hAnsi="Arial" w:cs="Arial"/>
          <w:sz w:val="22"/>
          <w:szCs w:val="22"/>
          <w:lang w:val="en-US"/>
        </w:rPr>
        <w:t xml:space="preserve">Committee </w:t>
      </w:r>
      <w:r w:rsidRPr="00C535B5">
        <w:rPr>
          <w:rFonts w:ascii="Arial" w:hAnsi="Arial" w:cs="Arial"/>
          <w:sz w:val="22"/>
          <w:szCs w:val="22"/>
          <w:lang w:val="en-US"/>
        </w:rPr>
        <w:t>also declares that:</w:t>
      </w:r>
    </w:p>
    <w:p w14:paraId="1BF7DBBC" w14:textId="77777777" w:rsidR="00C535B5" w:rsidRPr="00C535B5" w:rsidRDefault="00C535B5" w:rsidP="00C535B5">
      <w:pPr>
        <w:pStyle w:val="PreformattatoHTML"/>
        <w:rPr>
          <w:rFonts w:ascii="Arial" w:hAnsi="Arial" w:cs="Arial"/>
          <w:sz w:val="22"/>
          <w:szCs w:val="22"/>
          <w:lang w:val="en-US"/>
        </w:rPr>
      </w:pPr>
      <w:r w:rsidRPr="00C535B5">
        <w:rPr>
          <w:rFonts w:ascii="Arial" w:hAnsi="Arial" w:cs="Arial"/>
          <w:sz w:val="22"/>
          <w:szCs w:val="22"/>
          <w:lang w:val="en-US"/>
        </w:rPr>
        <w:t>1. The selection procedure followed the cross-cutting principles established by Regulation (EU) 2021/241, namely:</w:t>
      </w:r>
    </w:p>
    <w:p w14:paraId="0EB57957" w14:textId="3F00F027" w:rsidR="00C535B5" w:rsidRPr="00C535B5" w:rsidRDefault="00C535B5" w:rsidP="00C535B5">
      <w:pPr>
        <w:pStyle w:val="PreformattatoHTML"/>
        <w:rPr>
          <w:rFonts w:ascii="Arial" w:hAnsi="Arial" w:cs="Arial"/>
          <w:sz w:val="22"/>
          <w:szCs w:val="22"/>
          <w:lang w:val="en-US"/>
        </w:rPr>
      </w:pPr>
      <w:r>
        <w:rPr>
          <w:rFonts w:ascii="Arial" w:hAnsi="Arial" w:cs="Arial"/>
          <w:sz w:val="22"/>
          <w:szCs w:val="22"/>
          <w:lang w:val="en-US"/>
        </w:rPr>
        <w:tab/>
      </w:r>
      <w:r w:rsidRPr="00C535B5">
        <w:rPr>
          <w:rFonts w:ascii="Arial" w:hAnsi="Arial" w:cs="Arial"/>
          <w:sz w:val="22"/>
          <w:szCs w:val="22"/>
          <w:lang w:val="en-US"/>
        </w:rPr>
        <w:t>a) The principle of gender equality;</w:t>
      </w:r>
      <w:r w:rsidR="003C6EC4">
        <w:rPr>
          <w:rFonts w:ascii="Arial" w:hAnsi="Arial" w:cs="Arial"/>
          <w:sz w:val="22"/>
          <w:szCs w:val="22"/>
          <w:lang w:val="en-US"/>
        </w:rPr>
        <w:t xml:space="preserve"> </w:t>
      </w:r>
    </w:p>
    <w:p w14:paraId="62FCC15D" w14:textId="3CDD1979" w:rsidR="00C535B5" w:rsidRPr="00C535B5" w:rsidRDefault="00C535B5" w:rsidP="00C535B5">
      <w:pPr>
        <w:pStyle w:val="PreformattatoHTML"/>
        <w:rPr>
          <w:rFonts w:ascii="Arial" w:hAnsi="Arial" w:cs="Arial"/>
          <w:sz w:val="22"/>
          <w:szCs w:val="22"/>
          <w:lang w:val="en-US"/>
        </w:rPr>
      </w:pPr>
      <w:r>
        <w:rPr>
          <w:rFonts w:ascii="Arial" w:hAnsi="Arial" w:cs="Arial"/>
          <w:sz w:val="22"/>
          <w:szCs w:val="22"/>
          <w:lang w:val="en-US"/>
        </w:rPr>
        <w:tab/>
      </w:r>
      <w:r w:rsidRPr="00C535B5">
        <w:rPr>
          <w:rFonts w:ascii="Arial" w:hAnsi="Arial" w:cs="Arial"/>
          <w:sz w:val="22"/>
          <w:szCs w:val="22"/>
          <w:lang w:val="en-US"/>
        </w:rPr>
        <w:t>b) The principle of protection and empowerment of young people;</w:t>
      </w:r>
    </w:p>
    <w:p w14:paraId="159306EC" w14:textId="09270077" w:rsidR="00C535B5" w:rsidRPr="00C535B5" w:rsidRDefault="00C535B5" w:rsidP="00C535B5">
      <w:pPr>
        <w:pStyle w:val="PreformattatoHTML"/>
        <w:rPr>
          <w:rFonts w:ascii="Arial" w:hAnsi="Arial" w:cs="Arial"/>
          <w:sz w:val="22"/>
          <w:szCs w:val="22"/>
          <w:lang w:val="en-US"/>
        </w:rPr>
      </w:pPr>
      <w:r>
        <w:rPr>
          <w:rFonts w:ascii="Arial" w:hAnsi="Arial" w:cs="Arial"/>
          <w:sz w:val="22"/>
          <w:szCs w:val="22"/>
          <w:lang w:val="en-US"/>
        </w:rPr>
        <w:tab/>
      </w:r>
      <w:r w:rsidRPr="00C535B5">
        <w:rPr>
          <w:rFonts w:ascii="Arial" w:hAnsi="Arial" w:cs="Arial"/>
          <w:sz w:val="22"/>
          <w:szCs w:val="22"/>
          <w:lang w:val="en-US"/>
        </w:rPr>
        <w:t>c) The principle of bridging territorial disparities.</w:t>
      </w:r>
    </w:p>
    <w:p w14:paraId="447D420F" w14:textId="77777777" w:rsidR="00C535B5" w:rsidRPr="00C535B5" w:rsidRDefault="00C535B5" w:rsidP="00C535B5">
      <w:pPr>
        <w:pStyle w:val="PreformattatoHTML"/>
        <w:rPr>
          <w:rFonts w:ascii="Arial" w:hAnsi="Arial" w:cs="Arial"/>
          <w:sz w:val="22"/>
          <w:szCs w:val="22"/>
          <w:lang w:val="en-US"/>
        </w:rPr>
      </w:pPr>
      <w:r w:rsidRPr="00C535B5">
        <w:rPr>
          <w:rFonts w:ascii="Arial" w:hAnsi="Arial" w:cs="Arial"/>
          <w:sz w:val="22"/>
          <w:szCs w:val="22"/>
          <w:lang w:val="en-US"/>
        </w:rPr>
        <w:t>2. The selection procedure was guided by the principles of legality and the criteria of cost-effectiveness, efficiency, impartiality, publicity, and transparency.</w:t>
      </w:r>
    </w:p>
    <w:p w14:paraId="145C0761" w14:textId="77777777" w:rsidR="00C535B5" w:rsidRPr="00C535B5" w:rsidRDefault="00C535B5" w:rsidP="00C535B5">
      <w:pPr>
        <w:pStyle w:val="PreformattatoHTML"/>
        <w:rPr>
          <w:rFonts w:ascii="Arial" w:hAnsi="Arial" w:cs="Arial"/>
          <w:sz w:val="22"/>
          <w:szCs w:val="22"/>
          <w:lang w:val="en-US"/>
        </w:rPr>
      </w:pPr>
      <w:r w:rsidRPr="00C535B5">
        <w:rPr>
          <w:rFonts w:ascii="Arial" w:hAnsi="Arial" w:cs="Arial"/>
          <w:sz w:val="22"/>
          <w:szCs w:val="22"/>
          <w:lang w:val="en-US"/>
        </w:rPr>
        <w:t>3. The appointment of the commission took place after the deadline for submitting applications.</w:t>
      </w:r>
    </w:p>
    <w:p w14:paraId="2993C41F" w14:textId="113224D1" w:rsidR="00C535B5" w:rsidRPr="00C535B5" w:rsidRDefault="00C535B5" w:rsidP="00C535B5">
      <w:pPr>
        <w:pStyle w:val="PreformattatoHTML"/>
        <w:rPr>
          <w:rFonts w:ascii="Arial" w:hAnsi="Arial" w:cs="Arial"/>
          <w:sz w:val="22"/>
          <w:szCs w:val="22"/>
          <w:lang w:val="en-US"/>
        </w:rPr>
      </w:pPr>
      <w:r w:rsidRPr="00C535B5">
        <w:rPr>
          <w:rFonts w:ascii="Arial" w:hAnsi="Arial" w:cs="Arial"/>
          <w:sz w:val="22"/>
          <w:szCs w:val="22"/>
          <w:lang w:val="en-US"/>
        </w:rPr>
        <w:t xml:space="preserve">4. The absence of incompatibilities among the members of the </w:t>
      </w:r>
      <w:r w:rsidR="003C6EC4" w:rsidRPr="00C535B5">
        <w:rPr>
          <w:rFonts w:ascii="Arial" w:hAnsi="Arial" w:cs="Arial"/>
          <w:sz w:val="22"/>
          <w:szCs w:val="22"/>
          <w:lang w:val="en-US"/>
        </w:rPr>
        <w:t xml:space="preserve">Committee </w:t>
      </w:r>
      <w:r w:rsidRPr="00C535B5">
        <w:rPr>
          <w:rFonts w:ascii="Arial" w:hAnsi="Arial" w:cs="Arial"/>
          <w:sz w:val="22"/>
          <w:szCs w:val="22"/>
          <w:lang w:val="en-US"/>
        </w:rPr>
        <w:t xml:space="preserve">has been verified, and in cases where conflicts of interest or situations of incompatibility have been declared or a risk of conflict of interest exists, the members of the </w:t>
      </w:r>
      <w:r>
        <w:rPr>
          <w:rFonts w:ascii="Arial" w:hAnsi="Arial" w:cs="Arial"/>
          <w:sz w:val="22"/>
          <w:szCs w:val="22"/>
          <w:lang w:val="en-US"/>
        </w:rPr>
        <w:t>Comm</w:t>
      </w:r>
      <w:r w:rsidR="00B23FB4">
        <w:rPr>
          <w:rFonts w:ascii="Arial" w:hAnsi="Arial" w:cs="Arial"/>
          <w:sz w:val="22"/>
          <w:szCs w:val="22"/>
          <w:lang w:val="en-US"/>
        </w:rPr>
        <w:t>ittee</w:t>
      </w:r>
      <w:r w:rsidRPr="00C535B5">
        <w:rPr>
          <w:rFonts w:ascii="Arial" w:hAnsi="Arial" w:cs="Arial"/>
          <w:sz w:val="22"/>
          <w:szCs w:val="22"/>
          <w:lang w:val="en-US"/>
        </w:rPr>
        <w:t xml:space="preserve"> have been replaced.</w:t>
      </w:r>
    </w:p>
    <w:p w14:paraId="24D78F5D" w14:textId="0DBB9C5F" w:rsidR="00C535B5" w:rsidRPr="00C535B5" w:rsidRDefault="00C535B5" w:rsidP="00C535B5">
      <w:pPr>
        <w:pStyle w:val="PreformattatoHTML"/>
        <w:rPr>
          <w:rFonts w:ascii="Arial" w:hAnsi="Arial" w:cs="Arial"/>
          <w:sz w:val="22"/>
          <w:szCs w:val="22"/>
          <w:lang w:val="en-US"/>
        </w:rPr>
      </w:pPr>
      <w:r w:rsidRPr="00C535B5">
        <w:rPr>
          <w:rFonts w:ascii="Arial" w:hAnsi="Arial" w:cs="Arial"/>
          <w:sz w:val="22"/>
          <w:szCs w:val="22"/>
          <w:lang w:val="en-US"/>
        </w:rPr>
        <w:t>5. The minutes of the evaluation committee allow for the verification of the evaluation methods used, which are consistent with those specified in the Selection Notice.</w:t>
      </w:r>
      <w:r w:rsidR="003C6EC4">
        <w:rPr>
          <w:rFonts w:ascii="Arial" w:hAnsi="Arial" w:cs="Arial"/>
          <w:sz w:val="22"/>
          <w:szCs w:val="22"/>
          <w:lang w:val="en-US"/>
        </w:rPr>
        <w:t xml:space="preserve"> </w:t>
      </w:r>
    </w:p>
    <w:p w14:paraId="7CA39BCD" w14:textId="77777777" w:rsidR="00C535B5" w:rsidRPr="00C535B5" w:rsidRDefault="00C535B5" w:rsidP="00C535B5">
      <w:pPr>
        <w:pStyle w:val="PreformattatoHTML"/>
        <w:rPr>
          <w:rFonts w:ascii="Arial" w:hAnsi="Arial" w:cs="Arial"/>
          <w:sz w:val="22"/>
          <w:szCs w:val="22"/>
          <w:lang w:val="en-US"/>
        </w:rPr>
      </w:pPr>
      <w:r w:rsidRPr="00C535B5">
        <w:rPr>
          <w:rFonts w:ascii="Arial" w:hAnsi="Arial" w:cs="Arial"/>
          <w:sz w:val="22"/>
          <w:szCs w:val="22"/>
          <w:lang w:val="en-US"/>
        </w:rPr>
        <w:t>6. The following conditions have been met:</w:t>
      </w:r>
    </w:p>
    <w:p w14:paraId="2B9D1071" w14:textId="5FE4B8BB" w:rsidR="00C535B5" w:rsidRPr="00C535B5" w:rsidRDefault="00C535B5" w:rsidP="00B23FB4">
      <w:pPr>
        <w:pStyle w:val="PreformattatoHTML"/>
        <w:ind w:left="916"/>
        <w:rPr>
          <w:rFonts w:ascii="Arial" w:hAnsi="Arial" w:cs="Arial"/>
          <w:sz w:val="22"/>
          <w:szCs w:val="22"/>
          <w:lang w:val="en-US"/>
        </w:rPr>
      </w:pPr>
      <w:r w:rsidRPr="00C535B5">
        <w:rPr>
          <w:rFonts w:ascii="Arial" w:hAnsi="Arial" w:cs="Arial"/>
          <w:sz w:val="22"/>
          <w:szCs w:val="22"/>
          <w:lang w:val="en-US"/>
        </w:rPr>
        <w:t>a. The candidates' resumes were submitted in the manner and within the deadlines specified in the Notice;</w:t>
      </w:r>
    </w:p>
    <w:p w14:paraId="438C9A63" w14:textId="1C0818E6" w:rsidR="00C535B5" w:rsidRPr="00C535B5" w:rsidRDefault="00C535B5" w:rsidP="00B23FB4">
      <w:pPr>
        <w:pStyle w:val="PreformattatoHTML"/>
        <w:ind w:left="916"/>
        <w:rPr>
          <w:rFonts w:ascii="Arial" w:hAnsi="Arial" w:cs="Arial"/>
          <w:sz w:val="22"/>
          <w:szCs w:val="22"/>
          <w:lang w:val="en-US"/>
        </w:rPr>
      </w:pPr>
      <w:r w:rsidRPr="00C535B5">
        <w:rPr>
          <w:rFonts w:ascii="Arial" w:hAnsi="Arial" w:cs="Arial"/>
          <w:sz w:val="22"/>
          <w:szCs w:val="22"/>
          <w:lang w:val="en-US"/>
        </w:rPr>
        <w:lastRenderedPageBreak/>
        <w:t>b. The comparison and scoring of the candidates are in accordance with what is stated in the Notice;</w:t>
      </w:r>
    </w:p>
    <w:p w14:paraId="040BB1EB" w14:textId="7DAFE4AD" w:rsidR="00C535B5" w:rsidRPr="00C535B5" w:rsidRDefault="00C535B5" w:rsidP="00B23FB4">
      <w:pPr>
        <w:pStyle w:val="PreformattatoHTML"/>
        <w:ind w:left="916"/>
        <w:rPr>
          <w:rFonts w:ascii="Arial" w:hAnsi="Arial" w:cs="Arial"/>
          <w:sz w:val="22"/>
          <w:szCs w:val="22"/>
          <w:lang w:val="en-US"/>
        </w:rPr>
      </w:pPr>
      <w:r w:rsidRPr="00C535B5">
        <w:rPr>
          <w:rFonts w:ascii="Arial" w:hAnsi="Arial" w:cs="Arial"/>
          <w:sz w:val="22"/>
          <w:szCs w:val="22"/>
          <w:lang w:val="en-US"/>
        </w:rPr>
        <w:t>c. In the case of selection based on qualifications and interview, the eligible candidates were duly notified;</w:t>
      </w:r>
    </w:p>
    <w:p w14:paraId="4D4EA3CB" w14:textId="01867559" w:rsidR="00C535B5" w:rsidRPr="00C535B5" w:rsidRDefault="00B23FB4" w:rsidP="00C535B5">
      <w:pPr>
        <w:pStyle w:val="PreformattatoHTML"/>
        <w:rPr>
          <w:rFonts w:ascii="Arial" w:hAnsi="Arial" w:cs="Arial"/>
          <w:sz w:val="22"/>
          <w:szCs w:val="22"/>
          <w:lang w:val="en-US"/>
        </w:rPr>
      </w:pPr>
      <w:r>
        <w:rPr>
          <w:rFonts w:ascii="Arial" w:hAnsi="Arial" w:cs="Arial"/>
          <w:sz w:val="22"/>
          <w:szCs w:val="22"/>
          <w:lang w:val="en-US"/>
        </w:rPr>
        <w:tab/>
      </w:r>
      <w:r w:rsidR="00C535B5" w:rsidRPr="00C535B5">
        <w:rPr>
          <w:rFonts w:ascii="Arial" w:hAnsi="Arial" w:cs="Arial"/>
          <w:sz w:val="22"/>
          <w:szCs w:val="22"/>
          <w:lang w:val="en-US"/>
        </w:rPr>
        <w:t>d. In case of a tie between two or more candidates, the younger candidate was selected.</w:t>
      </w:r>
    </w:p>
    <w:p w14:paraId="4AB1B038" w14:textId="77777777" w:rsidR="00C535B5" w:rsidRPr="00C535B5" w:rsidRDefault="00C535B5" w:rsidP="00C535B5">
      <w:pPr>
        <w:pStyle w:val="PreformattatoHTML"/>
        <w:rPr>
          <w:rFonts w:ascii="Arial" w:hAnsi="Arial" w:cs="Arial"/>
          <w:sz w:val="22"/>
          <w:szCs w:val="22"/>
          <w:lang w:val="en-US"/>
        </w:rPr>
      </w:pPr>
    </w:p>
    <w:p w14:paraId="07C442CE" w14:textId="570E49D3" w:rsidR="00B23FB4" w:rsidRPr="00B23FB4" w:rsidRDefault="00B23FB4" w:rsidP="00B23FB4">
      <w:pPr>
        <w:pStyle w:val="PreformattatoHTML"/>
        <w:rPr>
          <w:rFonts w:ascii="Arial" w:hAnsi="Arial" w:cs="Arial"/>
          <w:sz w:val="22"/>
          <w:szCs w:val="22"/>
          <w:lang w:val="en-US"/>
        </w:rPr>
      </w:pPr>
      <w:r w:rsidRPr="00B23FB4">
        <w:rPr>
          <w:rFonts w:ascii="Arial" w:hAnsi="Arial" w:cs="Arial"/>
          <w:sz w:val="22"/>
          <w:szCs w:val="22"/>
          <w:lang w:val="en-US"/>
        </w:rPr>
        <w:t xml:space="preserve">7. The research activities planned for the PhD students who are recipients of PNRR grants, based on the findings of the undersigned </w:t>
      </w:r>
      <w:r>
        <w:rPr>
          <w:rFonts w:ascii="Arial" w:hAnsi="Arial" w:cs="Arial"/>
          <w:sz w:val="22"/>
          <w:szCs w:val="22"/>
          <w:lang w:val="en-US"/>
        </w:rPr>
        <w:t>Committee</w:t>
      </w:r>
      <w:r w:rsidRPr="00B23FB4">
        <w:rPr>
          <w:rFonts w:ascii="Arial" w:hAnsi="Arial" w:cs="Arial"/>
          <w:sz w:val="22"/>
          <w:szCs w:val="22"/>
          <w:lang w:val="en-US"/>
        </w:rPr>
        <w:t>, ensure compliance with the principle of not causing significant harm to any of the following environmental objectives, as defined in Article 17 of Regulation (EU) 2021/852, specifically:</w:t>
      </w:r>
    </w:p>
    <w:p w14:paraId="0F4385B9" w14:textId="726A0E7A" w:rsidR="00B23FB4" w:rsidRPr="00B23FB4" w:rsidRDefault="00B23FB4" w:rsidP="00B23FB4">
      <w:pPr>
        <w:pStyle w:val="PreformattatoHTML"/>
        <w:ind w:left="916"/>
        <w:rPr>
          <w:rFonts w:ascii="Arial" w:hAnsi="Arial" w:cs="Arial"/>
          <w:sz w:val="22"/>
          <w:szCs w:val="22"/>
          <w:lang w:val="en-US"/>
        </w:rPr>
      </w:pPr>
      <w:r w:rsidRPr="00B23FB4">
        <w:rPr>
          <w:rFonts w:ascii="Arial" w:hAnsi="Arial" w:cs="Arial"/>
          <w:sz w:val="22"/>
          <w:szCs w:val="22"/>
          <w:lang w:val="en-US"/>
        </w:rPr>
        <w:t>a. Climate change mitigation, as the activities do not result in significant greenhouse gas emissions;</w:t>
      </w:r>
    </w:p>
    <w:p w14:paraId="2C6DB61E" w14:textId="2A427509" w:rsidR="00B23FB4" w:rsidRPr="00B23FB4" w:rsidRDefault="00B23FB4" w:rsidP="00B23FB4">
      <w:pPr>
        <w:pStyle w:val="PreformattatoHTML"/>
        <w:ind w:left="916"/>
        <w:rPr>
          <w:rFonts w:ascii="Arial" w:hAnsi="Arial" w:cs="Arial"/>
          <w:sz w:val="22"/>
          <w:szCs w:val="22"/>
          <w:lang w:val="en-US"/>
        </w:rPr>
      </w:pPr>
      <w:r w:rsidRPr="00B23FB4">
        <w:rPr>
          <w:rFonts w:ascii="Arial" w:hAnsi="Arial" w:cs="Arial"/>
          <w:sz w:val="22"/>
          <w:szCs w:val="22"/>
          <w:lang w:val="en-US"/>
        </w:rPr>
        <w:t>b. Climate change adaptation, as the activities do not worsen the adverse effects of the current climate or the projected future climate on themselves, individuals, nature, or assets;</w:t>
      </w:r>
    </w:p>
    <w:p w14:paraId="07F06150" w14:textId="1A96A5CF" w:rsidR="00B23FB4" w:rsidRPr="00B23FB4" w:rsidRDefault="00B23FB4" w:rsidP="00B23FB4">
      <w:pPr>
        <w:pStyle w:val="PreformattatoHTML"/>
        <w:ind w:left="916"/>
        <w:rPr>
          <w:rFonts w:ascii="Arial" w:hAnsi="Arial" w:cs="Arial"/>
          <w:sz w:val="22"/>
          <w:szCs w:val="22"/>
          <w:lang w:val="en-US"/>
        </w:rPr>
      </w:pPr>
      <w:r w:rsidRPr="00B23FB4">
        <w:rPr>
          <w:rFonts w:ascii="Arial" w:hAnsi="Arial" w:cs="Arial"/>
          <w:sz w:val="22"/>
          <w:szCs w:val="22"/>
          <w:lang w:val="en-US"/>
        </w:rPr>
        <w:t>c. Sustainable use and protection of water and marine resources, as the activities do not harm:</w:t>
      </w:r>
    </w:p>
    <w:p w14:paraId="2BD1E752" w14:textId="4584B7F2" w:rsidR="00B23FB4" w:rsidRPr="00B23FB4" w:rsidRDefault="00B23FB4" w:rsidP="00B23FB4">
      <w:pPr>
        <w:pStyle w:val="PreformattatoHTML"/>
        <w:ind w:left="1832"/>
        <w:rPr>
          <w:rFonts w:ascii="Arial" w:hAnsi="Arial" w:cs="Arial"/>
          <w:sz w:val="22"/>
          <w:szCs w:val="22"/>
          <w:lang w:val="en-US"/>
        </w:rPr>
      </w:pPr>
      <w:proofErr w:type="spellStart"/>
      <w:r w:rsidRPr="00B23FB4">
        <w:rPr>
          <w:rFonts w:ascii="Arial" w:hAnsi="Arial" w:cs="Arial"/>
          <w:sz w:val="22"/>
          <w:szCs w:val="22"/>
          <w:lang w:val="en-US"/>
        </w:rPr>
        <w:t>i</w:t>
      </w:r>
      <w:proofErr w:type="spellEnd"/>
      <w:r w:rsidRPr="00B23FB4">
        <w:rPr>
          <w:rFonts w:ascii="Arial" w:hAnsi="Arial" w:cs="Arial"/>
          <w:sz w:val="22"/>
          <w:szCs w:val="22"/>
          <w:lang w:val="en-US"/>
        </w:rPr>
        <w:t>. The good ecological status or potential of water bodies, including surface and groundwater;</w:t>
      </w:r>
    </w:p>
    <w:p w14:paraId="2EA4038A" w14:textId="0F9197DB" w:rsidR="00B23FB4" w:rsidRPr="00B23FB4" w:rsidRDefault="00B23FB4" w:rsidP="00B23FB4">
      <w:pPr>
        <w:pStyle w:val="PreformattatoHTML"/>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Pr="00B23FB4">
        <w:rPr>
          <w:rFonts w:ascii="Arial" w:hAnsi="Arial" w:cs="Arial"/>
          <w:sz w:val="22"/>
          <w:szCs w:val="22"/>
          <w:lang w:val="en-US"/>
        </w:rPr>
        <w:t>ii. The good ecological status of marine waters;</w:t>
      </w:r>
    </w:p>
    <w:p w14:paraId="65289B4C" w14:textId="19FB80FF" w:rsidR="00B23FB4" w:rsidRPr="00B23FB4" w:rsidRDefault="00B23FB4" w:rsidP="00B23FB4">
      <w:pPr>
        <w:pStyle w:val="PreformattatoHTML"/>
        <w:rPr>
          <w:rFonts w:ascii="Arial" w:hAnsi="Arial" w:cs="Arial"/>
          <w:sz w:val="22"/>
          <w:szCs w:val="22"/>
          <w:lang w:val="en-US"/>
        </w:rPr>
      </w:pPr>
      <w:r>
        <w:rPr>
          <w:rFonts w:ascii="Arial" w:hAnsi="Arial" w:cs="Arial"/>
          <w:sz w:val="22"/>
          <w:szCs w:val="22"/>
          <w:lang w:val="en-US"/>
        </w:rPr>
        <w:tab/>
      </w:r>
      <w:r w:rsidRPr="00B23FB4">
        <w:rPr>
          <w:rFonts w:ascii="Arial" w:hAnsi="Arial" w:cs="Arial"/>
          <w:sz w:val="22"/>
          <w:szCs w:val="22"/>
          <w:lang w:val="en-US"/>
        </w:rPr>
        <w:t>d. Circular economy, including waste prevention and recycling, as:</w:t>
      </w:r>
    </w:p>
    <w:p w14:paraId="61DAAE77" w14:textId="53C92929" w:rsidR="00B23FB4" w:rsidRPr="00B23FB4" w:rsidRDefault="00B23FB4" w:rsidP="00B23FB4">
      <w:pPr>
        <w:pStyle w:val="PreformattatoHTML"/>
        <w:ind w:left="1832"/>
        <w:rPr>
          <w:rFonts w:ascii="Arial" w:hAnsi="Arial" w:cs="Arial"/>
          <w:sz w:val="22"/>
          <w:szCs w:val="22"/>
          <w:lang w:val="en-US"/>
        </w:rPr>
      </w:pPr>
      <w:proofErr w:type="spellStart"/>
      <w:r w:rsidRPr="00B23FB4">
        <w:rPr>
          <w:rFonts w:ascii="Arial" w:hAnsi="Arial" w:cs="Arial"/>
          <w:sz w:val="22"/>
          <w:szCs w:val="22"/>
          <w:lang w:val="en-US"/>
        </w:rPr>
        <w:t>i</w:t>
      </w:r>
      <w:proofErr w:type="spellEnd"/>
      <w:r w:rsidRPr="00B23FB4">
        <w:rPr>
          <w:rFonts w:ascii="Arial" w:hAnsi="Arial" w:cs="Arial"/>
          <w:sz w:val="22"/>
          <w:szCs w:val="22"/>
          <w:lang w:val="en-US"/>
        </w:rPr>
        <w:t>. The activities do not result in significant inefficiencies in material use or in the direct or indirect use of natural resources such as non-renewable energy sources, raw materials, water resources, and soil, at one or more stages of the product life cycle, including considerations of durability, reparability, upgradability, reusability, or recyclability of products;</w:t>
      </w:r>
    </w:p>
    <w:p w14:paraId="1D63EEBD" w14:textId="361F5A70" w:rsidR="00B23FB4" w:rsidRPr="00B23FB4" w:rsidRDefault="00B23FB4" w:rsidP="00B23FB4">
      <w:pPr>
        <w:pStyle w:val="PreformattatoHTML"/>
        <w:ind w:left="1832"/>
        <w:rPr>
          <w:rFonts w:ascii="Arial" w:hAnsi="Arial" w:cs="Arial"/>
          <w:sz w:val="22"/>
          <w:szCs w:val="22"/>
          <w:lang w:val="en-US"/>
        </w:rPr>
      </w:pPr>
      <w:r w:rsidRPr="00B23FB4">
        <w:rPr>
          <w:rFonts w:ascii="Arial" w:hAnsi="Arial" w:cs="Arial"/>
          <w:sz w:val="22"/>
          <w:szCs w:val="22"/>
          <w:lang w:val="en-US"/>
        </w:rPr>
        <w:t>ii. The activities do not involve a significant increase in the production, incineration, or disposal of waste, except for the incineration of non-recyclable hazardous waste;</w:t>
      </w:r>
    </w:p>
    <w:p w14:paraId="1DCA8488" w14:textId="66803ADD" w:rsidR="00B23FB4" w:rsidRPr="00B23FB4" w:rsidRDefault="00B23FB4" w:rsidP="00B23FB4">
      <w:pPr>
        <w:pStyle w:val="PreformattatoHTML"/>
        <w:ind w:left="1832"/>
        <w:rPr>
          <w:rFonts w:ascii="Arial" w:hAnsi="Arial" w:cs="Arial"/>
          <w:sz w:val="22"/>
          <w:szCs w:val="22"/>
          <w:lang w:val="en-US"/>
        </w:rPr>
      </w:pPr>
      <w:r w:rsidRPr="00B23FB4">
        <w:rPr>
          <w:rFonts w:ascii="Arial" w:hAnsi="Arial" w:cs="Arial"/>
          <w:sz w:val="22"/>
          <w:szCs w:val="22"/>
          <w:lang w:val="en-US"/>
        </w:rPr>
        <w:t>iii. The long-term disposal of waste would not cause significant and long-term environmental damage;</w:t>
      </w:r>
    </w:p>
    <w:p w14:paraId="7D4B0DE6" w14:textId="37E0A7C2" w:rsidR="00B23FB4" w:rsidRPr="00B23FB4" w:rsidRDefault="00B23FB4" w:rsidP="00B23FB4">
      <w:pPr>
        <w:pStyle w:val="PreformattatoHTML"/>
        <w:ind w:left="916"/>
        <w:rPr>
          <w:rFonts w:ascii="Arial" w:hAnsi="Arial" w:cs="Arial"/>
          <w:sz w:val="22"/>
          <w:szCs w:val="22"/>
          <w:lang w:val="en-US"/>
        </w:rPr>
      </w:pPr>
      <w:r w:rsidRPr="00B23FB4">
        <w:rPr>
          <w:rFonts w:ascii="Arial" w:hAnsi="Arial" w:cs="Arial"/>
          <w:sz w:val="22"/>
          <w:szCs w:val="22"/>
          <w:lang w:val="en-US"/>
        </w:rPr>
        <w:t>e. Pollution prevention and reduction, as the activities do not result in a significant increase in emissions of pollutants into the air, water, or soil compared to the situation before their initiation;</w:t>
      </w:r>
    </w:p>
    <w:p w14:paraId="43612F1C" w14:textId="40907CDE" w:rsidR="00B23FB4" w:rsidRPr="00B23FB4" w:rsidRDefault="00B23FB4" w:rsidP="00B23FB4">
      <w:pPr>
        <w:pStyle w:val="PreformattatoHTML"/>
        <w:rPr>
          <w:rFonts w:ascii="Arial" w:hAnsi="Arial" w:cs="Arial"/>
          <w:sz w:val="22"/>
          <w:szCs w:val="22"/>
          <w:lang w:val="en-US"/>
        </w:rPr>
      </w:pPr>
      <w:r>
        <w:rPr>
          <w:rFonts w:ascii="Arial" w:hAnsi="Arial" w:cs="Arial"/>
          <w:sz w:val="22"/>
          <w:szCs w:val="22"/>
          <w:lang w:val="en-US"/>
        </w:rPr>
        <w:tab/>
      </w:r>
      <w:r w:rsidRPr="00B23FB4">
        <w:rPr>
          <w:rFonts w:ascii="Arial" w:hAnsi="Arial" w:cs="Arial"/>
          <w:sz w:val="22"/>
          <w:szCs w:val="22"/>
          <w:lang w:val="en-US"/>
        </w:rPr>
        <w:t>f. Protection and restoration of biodiversity and ecosystems, as the activities:</w:t>
      </w:r>
    </w:p>
    <w:p w14:paraId="02591713" w14:textId="605F2732" w:rsidR="00B23FB4" w:rsidRPr="00B23FB4" w:rsidRDefault="00B23FB4" w:rsidP="00B23FB4">
      <w:pPr>
        <w:pStyle w:val="PreformattatoHTML"/>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proofErr w:type="spellStart"/>
      <w:r w:rsidRPr="00B23FB4">
        <w:rPr>
          <w:rFonts w:ascii="Arial" w:hAnsi="Arial" w:cs="Arial"/>
          <w:sz w:val="22"/>
          <w:szCs w:val="22"/>
          <w:lang w:val="en-US"/>
        </w:rPr>
        <w:t>i</w:t>
      </w:r>
      <w:proofErr w:type="spellEnd"/>
      <w:r w:rsidRPr="00B23FB4">
        <w:rPr>
          <w:rFonts w:ascii="Arial" w:hAnsi="Arial" w:cs="Arial"/>
          <w:sz w:val="22"/>
          <w:szCs w:val="22"/>
          <w:lang w:val="en-US"/>
        </w:rPr>
        <w:t>. Do not significantly harm the good condition and resilience of ecosystems;</w:t>
      </w:r>
    </w:p>
    <w:p w14:paraId="2ED6D579" w14:textId="7B859D93" w:rsidR="00B23FB4" w:rsidRPr="00B23FB4" w:rsidRDefault="00B23FB4" w:rsidP="00B23FB4">
      <w:pPr>
        <w:pStyle w:val="PreformattatoHTML"/>
        <w:ind w:left="1832"/>
        <w:rPr>
          <w:rFonts w:ascii="Arial" w:hAnsi="Arial" w:cs="Arial"/>
          <w:sz w:val="22"/>
          <w:szCs w:val="22"/>
          <w:lang w:val="en-US"/>
        </w:rPr>
      </w:pPr>
      <w:r w:rsidRPr="00B23FB4">
        <w:rPr>
          <w:rFonts w:ascii="Arial" w:hAnsi="Arial" w:cs="Arial"/>
          <w:sz w:val="22"/>
          <w:szCs w:val="22"/>
          <w:lang w:val="en-US"/>
        </w:rPr>
        <w:t>ii. Do not significantly harm the conservation status of habitats and species, including those of Union interest.</w:t>
      </w:r>
    </w:p>
    <w:p w14:paraId="333846F1" w14:textId="77777777" w:rsidR="004E5016" w:rsidRDefault="00B23FB4" w:rsidP="004E5016">
      <w:pPr>
        <w:pStyle w:val="PreformattatoHTML"/>
        <w:ind w:left="916" w:hanging="916"/>
        <w:rPr>
          <w:rFonts w:ascii="Arial" w:hAnsi="Arial" w:cs="Arial"/>
          <w:sz w:val="22"/>
          <w:szCs w:val="22"/>
          <w:lang w:val="en-US"/>
        </w:rPr>
      </w:pPr>
      <w:r w:rsidRPr="00B23FB4">
        <w:rPr>
          <w:rFonts w:ascii="Arial" w:hAnsi="Arial" w:cs="Arial"/>
          <w:sz w:val="22"/>
          <w:szCs w:val="22"/>
          <w:lang w:val="en-US"/>
        </w:rPr>
        <w:t>8. The research activities planned for the PhD students who are recipients of PNRR grants, based on</w:t>
      </w:r>
    </w:p>
    <w:p w14:paraId="02C844D3" w14:textId="73282EDD" w:rsidR="00B23FB4" w:rsidRPr="00B23FB4" w:rsidRDefault="00B23FB4" w:rsidP="004E5016">
      <w:pPr>
        <w:pStyle w:val="PreformattatoHTML"/>
        <w:tabs>
          <w:tab w:val="clear" w:pos="916"/>
          <w:tab w:val="left" w:pos="567"/>
        </w:tabs>
        <w:rPr>
          <w:rFonts w:ascii="Arial" w:hAnsi="Arial" w:cs="Arial"/>
          <w:sz w:val="22"/>
          <w:szCs w:val="22"/>
          <w:lang w:val="en-US"/>
        </w:rPr>
      </w:pPr>
      <w:r w:rsidRPr="00B23FB4">
        <w:rPr>
          <w:rFonts w:ascii="Arial" w:hAnsi="Arial" w:cs="Arial"/>
          <w:sz w:val="22"/>
          <w:szCs w:val="22"/>
          <w:lang w:val="en-US"/>
        </w:rPr>
        <w:t xml:space="preserve">the findings of the undersigned </w:t>
      </w:r>
      <w:r w:rsidR="008C064A">
        <w:rPr>
          <w:rFonts w:ascii="Arial" w:hAnsi="Arial" w:cs="Arial"/>
          <w:sz w:val="22"/>
          <w:szCs w:val="22"/>
          <w:lang w:val="en-US"/>
        </w:rPr>
        <w:t>Committee</w:t>
      </w:r>
      <w:r w:rsidRPr="00B23FB4">
        <w:rPr>
          <w:rFonts w:ascii="Arial" w:hAnsi="Arial" w:cs="Arial"/>
          <w:sz w:val="22"/>
          <w:szCs w:val="22"/>
          <w:lang w:val="en-US"/>
        </w:rPr>
        <w:t>, exclude activities related to so-called "brown" research, in</w:t>
      </w:r>
      <w:r w:rsidR="004E5016">
        <w:rPr>
          <w:rFonts w:ascii="Arial" w:hAnsi="Arial" w:cs="Arial"/>
          <w:sz w:val="22"/>
          <w:szCs w:val="22"/>
          <w:lang w:val="en-US"/>
        </w:rPr>
        <w:t xml:space="preserve"> </w:t>
      </w:r>
      <w:r w:rsidRPr="00B23FB4">
        <w:rPr>
          <w:rFonts w:ascii="Arial" w:hAnsi="Arial" w:cs="Arial"/>
          <w:sz w:val="22"/>
          <w:szCs w:val="22"/>
          <w:lang w:val="en-US"/>
        </w:rPr>
        <w:t>accordance with the European Commission Communication 2021/C 58/01 "Technical guidelines for the application of the Do No Significant Harm (DNSH) principle":</w:t>
      </w:r>
    </w:p>
    <w:p w14:paraId="5805102B" w14:textId="639F0193" w:rsidR="00B23FB4" w:rsidRPr="00B23FB4" w:rsidRDefault="00B23FB4" w:rsidP="00B23FB4">
      <w:pPr>
        <w:pStyle w:val="PreformattatoHTML"/>
        <w:rPr>
          <w:rFonts w:ascii="Arial" w:hAnsi="Arial" w:cs="Arial"/>
          <w:sz w:val="22"/>
          <w:szCs w:val="22"/>
          <w:lang w:val="en-US"/>
        </w:rPr>
      </w:pPr>
      <w:r>
        <w:rPr>
          <w:rFonts w:ascii="Arial" w:hAnsi="Arial" w:cs="Arial"/>
          <w:sz w:val="22"/>
          <w:szCs w:val="22"/>
          <w:lang w:val="en-US"/>
        </w:rPr>
        <w:tab/>
      </w:r>
      <w:r w:rsidRPr="00B23FB4">
        <w:rPr>
          <w:rFonts w:ascii="Arial" w:hAnsi="Arial" w:cs="Arial"/>
          <w:sz w:val="22"/>
          <w:szCs w:val="22"/>
          <w:lang w:val="en-US"/>
        </w:rPr>
        <w:t>a. Activities related to fossil fuels, including downstream use;</w:t>
      </w:r>
    </w:p>
    <w:p w14:paraId="554A2055" w14:textId="7F607AD2" w:rsidR="00B23FB4" w:rsidRPr="00B23FB4" w:rsidRDefault="00B23FB4" w:rsidP="00B23FB4">
      <w:pPr>
        <w:pStyle w:val="PreformattatoHTML"/>
        <w:ind w:left="916"/>
        <w:rPr>
          <w:rFonts w:ascii="Arial" w:hAnsi="Arial" w:cs="Arial"/>
          <w:sz w:val="22"/>
          <w:szCs w:val="22"/>
          <w:lang w:val="en-US"/>
        </w:rPr>
      </w:pPr>
      <w:r w:rsidRPr="00B23FB4">
        <w:rPr>
          <w:rFonts w:ascii="Arial" w:hAnsi="Arial" w:cs="Arial"/>
          <w:sz w:val="22"/>
          <w:szCs w:val="22"/>
          <w:lang w:val="en-US"/>
        </w:rPr>
        <w:lastRenderedPageBreak/>
        <w:t>b. Activities within the framework of the EU Emissions Trading System (ETS) that result in greenhouse gas emissions not falling below the relevant benchmark;</w:t>
      </w:r>
    </w:p>
    <w:p w14:paraId="17C73E23" w14:textId="5622BE85" w:rsidR="00B23FB4" w:rsidRPr="00B23FB4" w:rsidRDefault="00B23FB4" w:rsidP="00B23FB4">
      <w:pPr>
        <w:pStyle w:val="PreformattatoHTML"/>
        <w:ind w:left="916"/>
        <w:rPr>
          <w:rFonts w:ascii="Arial" w:hAnsi="Arial" w:cs="Arial"/>
          <w:sz w:val="22"/>
          <w:szCs w:val="22"/>
          <w:lang w:val="en-US"/>
        </w:rPr>
      </w:pPr>
      <w:r w:rsidRPr="00B23FB4">
        <w:rPr>
          <w:rFonts w:ascii="Arial" w:hAnsi="Arial" w:cs="Arial"/>
          <w:sz w:val="22"/>
          <w:szCs w:val="22"/>
          <w:lang w:val="en-US"/>
        </w:rPr>
        <w:t>c. Activities related to waste landfills, incinerators, and mechanical-biological treatment plants;</w:t>
      </w:r>
    </w:p>
    <w:p w14:paraId="7C38C601" w14:textId="0DF3C518" w:rsidR="00B23FB4" w:rsidRPr="00B23FB4" w:rsidRDefault="00B23FB4" w:rsidP="00B23FB4">
      <w:pPr>
        <w:pStyle w:val="PreformattatoHTML"/>
        <w:rPr>
          <w:rFonts w:ascii="Arial" w:hAnsi="Arial" w:cs="Arial"/>
          <w:sz w:val="22"/>
          <w:szCs w:val="22"/>
          <w:lang w:val="en-US"/>
        </w:rPr>
      </w:pPr>
      <w:r>
        <w:rPr>
          <w:rFonts w:ascii="Arial" w:hAnsi="Arial" w:cs="Arial"/>
          <w:sz w:val="22"/>
          <w:szCs w:val="22"/>
          <w:lang w:val="en-US"/>
        </w:rPr>
        <w:tab/>
      </w:r>
      <w:r w:rsidRPr="00B23FB4">
        <w:rPr>
          <w:rFonts w:ascii="Arial" w:hAnsi="Arial" w:cs="Arial"/>
          <w:sz w:val="22"/>
          <w:szCs w:val="22"/>
          <w:lang w:val="en-US"/>
        </w:rPr>
        <w:t>d. Activities where long-term waste disposal could cause environmental damage.</w:t>
      </w:r>
    </w:p>
    <w:p w14:paraId="7E9C3E4D" w14:textId="77777777" w:rsidR="00693ED3" w:rsidRPr="003C6EC4" w:rsidRDefault="00693ED3" w:rsidP="00693ED3">
      <w:pPr>
        <w:pStyle w:val="PreformattatoHTML"/>
        <w:rPr>
          <w:rFonts w:ascii="Arial" w:hAnsi="Arial" w:cs="Arial"/>
          <w:sz w:val="22"/>
          <w:szCs w:val="22"/>
          <w:lang w:val="en-GB"/>
        </w:rPr>
      </w:pPr>
    </w:p>
    <w:p w14:paraId="4B0F16EB" w14:textId="77777777" w:rsidR="00693ED3" w:rsidRPr="003C6EC4" w:rsidRDefault="00693ED3" w:rsidP="00693ED3">
      <w:pPr>
        <w:ind w:firstLine="708"/>
        <w:rPr>
          <w:rFonts w:ascii="Arial" w:hAnsi="Arial" w:cs="Arial"/>
          <w:b/>
          <w:u w:val="single"/>
          <w:lang w:val="en-GB"/>
        </w:rPr>
      </w:pPr>
    </w:p>
    <w:p w14:paraId="2B1CCF63" w14:textId="77777777" w:rsidR="008C064A" w:rsidRPr="008C064A" w:rsidRDefault="008C064A" w:rsidP="008C064A">
      <w:pPr>
        <w:ind w:firstLine="567"/>
        <w:jc w:val="both"/>
        <w:rPr>
          <w:rFonts w:ascii="Arial" w:hAnsi="Arial" w:cs="Arial"/>
          <w:iCs/>
          <w:lang w:val="en-US"/>
        </w:rPr>
      </w:pPr>
      <w:r w:rsidRPr="008C064A">
        <w:rPr>
          <w:rFonts w:ascii="Arial" w:hAnsi="Arial" w:cs="Arial"/>
          <w:iCs/>
          <w:lang w:val="en-US"/>
        </w:rPr>
        <w:t>Read, approved, and signed.</w:t>
      </w:r>
    </w:p>
    <w:p w14:paraId="1AF0933D" w14:textId="77777777" w:rsidR="00693ED3" w:rsidRPr="003C6EC4" w:rsidRDefault="00693ED3" w:rsidP="00693ED3">
      <w:pPr>
        <w:ind w:firstLine="567"/>
        <w:jc w:val="both"/>
        <w:rPr>
          <w:rFonts w:ascii="Arial" w:hAnsi="Arial" w:cs="Arial"/>
          <w:lang w:val="en-GB"/>
        </w:rPr>
      </w:pPr>
    </w:p>
    <w:p w14:paraId="76028D1E" w14:textId="77777777" w:rsidR="008C064A" w:rsidRPr="005B4490" w:rsidRDefault="008C064A" w:rsidP="008C064A">
      <w:pPr>
        <w:ind w:firstLine="567"/>
        <w:jc w:val="both"/>
        <w:rPr>
          <w:rFonts w:ascii="Arial" w:hAnsi="Arial" w:cs="Arial"/>
          <w:lang w:val="en-US"/>
        </w:rPr>
      </w:pPr>
    </w:p>
    <w:p w14:paraId="5AECBA0C" w14:textId="77777777" w:rsidR="008C064A" w:rsidRPr="00FB16A3" w:rsidRDefault="008C064A" w:rsidP="008C064A">
      <w:pPr>
        <w:tabs>
          <w:tab w:val="left" w:pos="5103"/>
        </w:tabs>
        <w:jc w:val="both"/>
        <w:rPr>
          <w:rFonts w:ascii="Arial" w:hAnsi="Arial" w:cs="Arial"/>
          <w:iCs/>
          <w:lang w:val="en-US"/>
        </w:rPr>
      </w:pPr>
      <w:r w:rsidRPr="00FE09CD">
        <w:rPr>
          <w:rFonts w:ascii="Arial" w:hAnsi="Arial" w:cs="Arial"/>
          <w:iCs/>
          <w:lang w:val="en-GB"/>
        </w:rPr>
        <w:t>THE COMMITTEE</w:t>
      </w:r>
    </w:p>
    <w:p w14:paraId="46AA4BD4" w14:textId="77777777" w:rsidR="008C064A" w:rsidRPr="00FB16A3" w:rsidRDefault="008C064A" w:rsidP="008C064A">
      <w:pPr>
        <w:ind w:firstLine="708"/>
        <w:rPr>
          <w:rFonts w:ascii="Arial" w:hAnsi="Arial" w:cs="Arial"/>
          <w:lang w:val="en-US"/>
        </w:rPr>
      </w:pPr>
    </w:p>
    <w:tbl>
      <w:tblPr>
        <w:tblStyle w:val="Grigliatabella"/>
        <w:tblW w:w="0" w:type="auto"/>
        <w:tblInd w:w="38" w:type="dxa"/>
        <w:tblLook w:val="01E0" w:firstRow="1" w:lastRow="1" w:firstColumn="1" w:lastColumn="1" w:noHBand="0" w:noVBand="0"/>
      </w:tblPr>
      <w:tblGrid>
        <w:gridCol w:w="2622"/>
        <w:gridCol w:w="3896"/>
        <w:gridCol w:w="3260"/>
      </w:tblGrid>
      <w:tr w:rsidR="008C064A" w:rsidRPr="001834B6" w14:paraId="7E652002" w14:textId="77777777" w:rsidTr="005E379A">
        <w:tc>
          <w:tcPr>
            <w:tcW w:w="2622" w:type="dxa"/>
          </w:tcPr>
          <w:p w14:paraId="0E2BEC52" w14:textId="77777777" w:rsidR="008C064A" w:rsidRPr="00FE09CD" w:rsidRDefault="008C064A" w:rsidP="005E379A">
            <w:pPr>
              <w:tabs>
                <w:tab w:val="left" w:pos="5103"/>
              </w:tabs>
              <w:spacing w:line="480" w:lineRule="auto"/>
              <w:jc w:val="both"/>
              <w:rPr>
                <w:rFonts w:ascii="Arial" w:hAnsi="Arial" w:cs="Arial"/>
                <w:iCs/>
                <w:sz w:val="22"/>
                <w:szCs w:val="22"/>
              </w:rPr>
            </w:pPr>
            <w:r w:rsidRPr="00FE09CD">
              <w:rPr>
                <w:rFonts w:ascii="Arial" w:hAnsi="Arial" w:cs="Arial"/>
                <w:iCs/>
                <w:sz w:val="22"/>
                <w:szCs w:val="22"/>
              </w:rPr>
              <w:t xml:space="preserve">The </w:t>
            </w:r>
            <w:proofErr w:type="spellStart"/>
            <w:r w:rsidRPr="00FE09CD">
              <w:rPr>
                <w:rFonts w:ascii="Arial" w:hAnsi="Arial" w:cs="Arial"/>
                <w:iCs/>
                <w:sz w:val="22"/>
                <w:szCs w:val="22"/>
              </w:rPr>
              <w:t>President</w:t>
            </w:r>
            <w:proofErr w:type="spellEnd"/>
            <w:r w:rsidRPr="00FE09CD">
              <w:rPr>
                <w:rFonts w:ascii="Arial" w:hAnsi="Arial" w:cs="Arial"/>
                <w:iCs/>
                <w:sz w:val="22"/>
                <w:szCs w:val="22"/>
              </w:rPr>
              <w:t xml:space="preserve"> </w:t>
            </w:r>
          </w:p>
        </w:tc>
        <w:tc>
          <w:tcPr>
            <w:tcW w:w="3896" w:type="dxa"/>
          </w:tcPr>
          <w:p w14:paraId="4615B345" w14:textId="77777777" w:rsidR="008C064A" w:rsidRPr="00FE09CD" w:rsidRDefault="008C064A" w:rsidP="005E379A">
            <w:pPr>
              <w:tabs>
                <w:tab w:val="left" w:pos="5103"/>
              </w:tabs>
              <w:spacing w:line="480" w:lineRule="auto"/>
              <w:jc w:val="both"/>
              <w:rPr>
                <w:rFonts w:ascii="Arial" w:hAnsi="Arial" w:cs="Arial"/>
                <w:sz w:val="22"/>
                <w:szCs w:val="22"/>
              </w:rPr>
            </w:pPr>
            <w:r w:rsidRPr="001834B6">
              <w:rPr>
                <w:rFonts w:ascii="Arial" w:hAnsi="Arial" w:cs="Arial"/>
                <w:sz w:val="22"/>
                <w:szCs w:val="22"/>
              </w:rPr>
              <w:t>Prof.</w:t>
            </w:r>
          </w:p>
        </w:tc>
        <w:tc>
          <w:tcPr>
            <w:tcW w:w="3260" w:type="dxa"/>
          </w:tcPr>
          <w:p w14:paraId="498B41B9" w14:textId="77777777" w:rsidR="008C064A" w:rsidRPr="00200ACB" w:rsidRDefault="008C064A" w:rsidP="005E379A">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r w:rsidR="008C064A" w:rsidRPr="001834B6" w14:paraId="24515388" w14:textId="77777777" w:rsidTr="005E379A">
        <w:tc>
          <w:tcPr>
            <w:tcW w:w="2622" w:type="dxa"/>
          </w:tcPr>
          <w:p w14:paraId="0889E9B6" w14:textId="77777777" w:rsidR="008C064A" w:rsidRPr="008C064A" w:rsidRDefault="008C064A" w:rsidP="005E379A">
            <w:pPr>
              <w:tabs>
                <w:tab w:val="left" w:pos="5103"/>
              </w:tabs>
              <w:spacing w:line="480" w:lineRule="auto"/>
              <w:jc w:val="both"/>
              <w:rPr>
                <w:rFonts w:ascii="Arial" w:hAnsi="Arial" w:cs="Arial"/>
                <w:iCs/>
                <w:sz w:val="22"/>
                <w:szCs w:val="22"/>
              </w:rPr>
            </w:pPr>
            <w:r w:rsidRPr="008C064A">
              <w:rPr>
                <w:rFonts w:ascii="Arial" w:hAnsi="Arial" w:cs="Arial"/>
                <w:iCs/>
                <w:sz w:val="22"/>
                <w:szCs w:val="22"/>
              </w:rPr>
              <w:t>Member</w:t>
            </w:r>
          </w:p>
        </w:tc>
        <w:tc>
          <w:tcPr>
            <w:tcW w:w="3896" w:type="dxa"/>
          </w:tcPr>
          <w:p w14:paraId="2DD79DB2" w14:textId="77777777" w:rsidR="008C064A" w:rsidRPr="001834B6" w:rsidRDefault="008C064A" w:rsidP="005E379A">
            <w:pPr>
              <w:spacing w:line="480" w:lineRule="auto"/>
              <w:rPr>
                <w:rFonts w:ascii="Arial" w:hAnsi="Arial" w:cs="Arial"/>
                <w:sz w:val="22"/>
                <w:szCs w:val="22"/>
              </w:rPr>
            </w:pPr>
            <w:bookmarkStart w:id="0" w:name="_GoBack"/>
            <w:r w:rsidRPr="004E5016">
              <w:rPr>
                <w:rFonts w:ascii="Arial" w:hAnsi="Arial" w:cs="Arial"/>
                <w:sz w:val="22"/>
                <w:szCs w:val="22"/>
              </w:rPr>
              <w:t>Prof</w:t>
            </w:r>
            <w:bookmarkEnd w:id="0"/>
            <w:r w:rsidRPr="00200ACB">
              <w:rPr>
                <w:rFonts w:ascii="Arial" w:hAnsi="Arial" w:cs="Arial"/>
                <w:i/>
                <w:sz w:val="22"/>
                <w:szCs w:val="22"/>
              </w:rPr>
              <w:t>.</w:t>
            </w:r>
          </w:p>
        </w:tc>
        <w:tc>
          <w:tcPr>
            <w:tcW w:w="3260" w:type="dxa"/>
          </w:tcPr>
          <w:p w14:paraId="43C98071" w14:textId="77777777" w:rsidR="008C064A" w:rsidRPr="001834B6" w:rsidRDefault="008C064A" w:rsidP="005E379A">
            <w:pPr>
              <w:tabs>
                <w:tab w:val="left" w:pos="5103"/>
              </w:tabs>
              <w:spacing w:line="480" w:lineRule="auto"/>
              <w:jc w:val="both"/>
              <w:rPr>
                <w:rFonts w:ascii="Arial" w:hAnsi="Arial" w:cs="Arial"/>
                <w:sz w:val="22"/>
                <w:szCs w:val="22"/>
              </w:rPr>
            </w:pPr>
            <w:r w:rsidRPr="00200ACB">
              <w:rPr>
                <w:rFonts w:ascii="Arial" w:hAnsi="Arial" w:cs="Arial"/>
                <w:i/>
                <w:sz w:val="22"/>
                <w:szCs w:val="22"/>
              </w:rPr>
              <w:t>signature</w:t>
            </w:r>
          </w:p>
        </w:tc>
      </w:tr>
      <w:tr w:rsidR="008C064A" w:rsidRPr="001834B6" w14:paraId="5175731B" w14:textId="77777777" w:rsidTr="005E379A">
        <w:tc>
          <w:tcPr>
            <w:tcW w:w="2622" w:type="dxa"/>
          </w:tcPr>
          <w:p w14:paraId="45D4FCCC" w14:textId="77777777" w:rsidR="008C064A" w:rsidRPr="001834B6" w:rsidRDefault="008C064A" w:rsidP="005E379A">
            <w:pPr>
              <w:tabs>
                <w:tab w:val="left" w:pos="5103"/>
              </w:tabs>
              <w:spacing w:line="480" w:lineRule="auto"/>
              <w:jc w:val="both"/>
              <w:rPr>
                <w:rFonts w:ascii="Arial" w:hAnsi="Arial" w:cs="Arial"/>
                <w:sz w:val="22"/>
                <w:szCs w:val="22"/>
              </w:rPr>
            </w:pPr>
            <w:r w:rsidRPr="00200ACB">
              <w:rPr>
                <w:rFonts w:ascii="Arial" w:hAnsi="Arial" w:cs="Arial"/>
                <w:sz w:val="22"/>
                <w:szCs w:val="22"/>
              </w:rPr>
              <w:t>Member-secretary</w:t>
            </w:r>
          </w:p>
        </w:tc>
        <w:tc>
          <w:tcPr>
            <w:tcW w:w="3896" w:type="dxa"/>
          </w:tcPr>
          <w:p w14:paraId="16F2FC72" w14:textId="77777777" w:rsidR="008C064A" w:rsidRPr="001834B6" w:rsidRDefault="008C064A" w:rsidP="005E379A">
            <w:pPr>
              <w:spacing w:line="480" w:lineRule="auto"/>
              <w:rPr>
                <w:rFonts w:ascii="Arial" w:hAnsi="Arial" w:cs="Arial"/>
                <w:sz w:val="22"/>
                <w:szCs w:val="22"/>
              </w:rPr>
            </w:pPr>
            <w:r w:rsidRPr="001834B6">
              <w:rPr>
                <w:rFonts w:ascii="Arial" w:hAnsi="Arial" w:cs="Arial"/>
                <w:sz w:val="22"/>
                <w:szCs w:val="22"/>
              </w:rPr>
              <w:t>Prof.</w:t>
            </w:r>
          </w:p>
        </w:tc>
        <w:tc>
          <w:tcPr>
            <w:tcW w:w="3260" w:type="dxa"/>
          </w:tcPr>
          <w:p w14:paraId="02CB6F32" w14:textId="77777777" w:rsidR="008C064A" w:rsidRPr="00FE09CD" w:rsidRDefault="008C064A" w:rsidP="005E379A">
            <w:pPr>
              <w:tabs>
                <w:tab w:val="left" w:pos="5103"/>
              </w:tabs>
              <w:spacing w:line="480" w:lineRule="auto"/>
              <w:jc w:val="both"/>
              <w:rPr>
                <w:rFonts w:ascii="Arial" w:hAnsi="Arial" w:cs="Arial"/>
                <w:i/>
                <w:iCs/>
                <w:sz w:val="22"/>
                <w:szCs w:val="22"/>
                <w:vertAlign w:val="superscript"/>
              </w:rPr>
            </w:pPr>
            <w:r w:rsidRPr="00200ACB">
              <w:rPr>
                <w:rFonts w:ascii="Arial" w:hAnsi="Arial" w:cs="Arial"/>
                <w:i/>
                <w:sz w:val="22"/>
                <w:szCs w:val="22"/>
              </w:rPr>
              <w:t>signature</w:t>
            </w:r>
          </w:p>
        </w:tc>
      </w:tr>
    </w:tbl>
    <w:p w14:paraId="21CDB784" w14:textId="0B4CE116" w:rsidR="008C064A" w:rsidRDefault="008C064A" w:rsidP="008C064A">
      <w:pPr>
        <w:rPr>
          <w:rFonts w:ascii="Arial" w:hAnsi="Arial" w:cs="Arial"/>
        </w:rPr>
      </w:pPr>
    </w:p>
    <w:p w14:paraId="5BC1365F" w14:textId="77777777" w:rsidR="008C064A" w:rsidRDefault="008C064A" w:rsidP="00693ED3">
      <w:pPr>
        <w:rPr>
          <w:rFonts w:ascii="Palatino Linotype" w:hAnsi="Palatino Linotype" w:cs="Palatino Linotype"/>
          <w:b/>
          <w:u w:val="single"/>
        </w:rPr>
      </w:pPr>
    </w:p>
    <w:p w14:paraId="0C18A76B" w14:textId="77777777" w:rsidR="00693ED3" w:rsidRDefault="00693ED3" w:rsidP="00693ED3">
      <w:pPr>
        <w:rPr>
          <w:rFonts w:ascii="Palatino Linotype" w:hAnsi="Palatino Linotype" w:cs="Palatino Linotype"/>
          <w:b/>
          <w:u w:val="single"/>
        </w:rPr>
      </w:pPr>
    </w:p>
    <w:p w14:paraId="28DB5BE2" w14:textId="77777777" w:rsidR="00693ED3" w:rsidRDefault="00693ED3" w:rsidP="00693ED3">
      <w:pPr>
        <w:rPr>
          <w:rFonts w:ascii="Palatino Linotype" w:hAnsi="Palatino Linotype" w:cs="Palatino Linotype"/>
          <w:b/>
          <w:u w:val="single"/>
        </w:rPr>
      </w:pPr>
    </w:p>
    <w:p w14:paraId="0260C6CB" w14:textId="77777777" w:rsidR="001B0F25" w:rsidRDefault="001B0F25"/>
    <w:sectPr w:rsidR="001B0F25">
      <w:headerReference w:type="default" r:id="rId7"/>
      <w:footerReference w:type="default" r:id="rId8"/>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E0D9B" w14:textId="77777777" w:rsidR="00371DCE" w:rsidRDefault="00371DCE" w:rsidP="00693ED3">
      <w:pPr>
        <w:spacing w:after="0" w:line="240" w:lineRule="auto"/>
      </w:pPr>
      <w:r>
        <w:separator/>
      </w:r>
    </w:p>
  </w:endnote>
  <w:endnote w:type="continuationSeparator" w:id="0">
    <w:p w14:paraId="594A039B" w14:textId="77777777" w:rsidR="00371DCE" w:rsidRDefault="00371DCE" w:rsidP="00693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3B7E" w14:textId="77777777" w:rsidR="00BC50B8" w:rsidRPr="00BC50B8" w:rsidRDefault="00BC50B8" w:rsidP="00BC50B8">
    <w:pPr>
      <w:pStyle w:val="Pidipagina"/>
    </w:pPr>
  </w:p>
  <w:p w14:paraId="3717357A" w14:textId="77777777" w:rsidR="00BC50B8" w:rsidRDefault="00BC50B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41507" w14:textId="77777777" w:rsidR="00371DCE" w:rsidRDefault="00371DCE" w:rsidP="00693ED3">
      <w:pPr>
        <w:spacing w:after="0" w:line="240" w:lineRule="auto"/>
      </w:pPr>
      <w:r>
        <w:separator/>
      </w:r>
    </w:p>
  </w:footnote>
  <w:footnote w:type="continuationSeparator" w:id="0">
    <w:p w14:paraId="56ECF6F3" w14:textId="77777777" w:rsidR="00371DCE" w:rsidRDefault="00371DCE" w:rsidP="00693ED3">
      <w:pPr>
        <w:spacing w:after="0" w:line="240" w:lineRule="auto"/>
      </w:pPr>
      <w:r>
        <w:continuationSeparator/>
      </w:r>
    </w:p>
  </w:footnote>
  <w:footnote w:id="1">
    <w:p w14:paraId="242B4334" w14:textId="69DC6C47" w:rsidR="00C535B5" w:rsidRPr="00C535B5" w:rsidRDefault="00F232A8" w:rsidP="00F232A8">
      <w:pPr>
        <w:pStyle w:val="Testonotaapidipagina"/>
        <w:ind w:left="0" w:right="-330" w:firstLine="0"/>
        <w:rPr>
          <w:lang w:val="en-US"/>
        </w:rPr>
      </w:pPr>
      <w:r>
        <w:rPr>
          <w:rStyle w:val="Rimandonotaapidipagina"/>
        </w:rPr>
        <w:footnoteRef/>
      </w:r>
      <w:r w:rsidRPr="00C535B5">
        <w:rPr>
          <w:lang w:val="en-US"/>
        </w:rPr>
        <w:t xml:space="preserve"> </w:t>
      </w:r>
      <w:r w:rsidR="00C535B5" w:rsidRPr="00C535B5">
        <w:rPr>
          <w:lang w:val="en-US"/>
        </w:rPr>
        <w:t>Pursuant to the provisions stated in the document "Framework for the Management and Monitoring of PNRR Projects" paragraph 4.4, approved by resolution Academic Senate</w:t>
      </w:r>
      <w:r w:rsidR="00C535B5">
        <w:rPr>
          <w:lang w:val="en-US"/>
        </w:rPr>
        <w:t xml:space="preserve"> </w:t>
      </w:r>
      <w:r w:rsidR="00C535B5" w:rsidRPr="00C535B5">
        <w:rPr>
          <w:lang w:val="en-US"/>
        </w:rPr>
        <w:t>nr. 135/2023 dated 18.04.2023 and Board of Directors nr. 155/2023 dated 27.04.2023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AA9BA" w14:textId="77777777" w:rsidR="00693ED3" w:rsidRPr="00693ED3" w:rsidRDefault="00DA6785" w:rsidP="00693ED3">
    <w:pPr>
      <w:keepNext/>
      <w:spacing w:after="0" w:line="240" w:lineRule="auto"/>
      <w:jc w:val="both"/>
      <w:outlineLvl w:val="0"/>
      <w:rPr>
        <w:rFonts w:ascii="Book Antiqua" w:hAnsi="Book Antiqua" w:cs="Book Antiqua"/>
        <w:b/>
        <w:bCs/>
        <w:sz w:val="24"/>
        <w:szCs w:val="24"/>
      </w:rPr>
    </w:pPr>
    <w:r>
      <w:rPr>
        <w:noProof/>
      </w:rPr>
      <w:drawing>
        <wp:anchor distT="0" distB="0" distL="114300" distR="114300" simplePos="0" relativeHeight="251658240" behindDoc="0" locked="0" layoutInCell="1" allowOverlap="1" wp14:anchorId="5C8C2611" wp14:editId="079D4062">
          <wp:simplePos x="0" y="0"/>
          <wp:positionH relativeFrom="margin">
            <wp:posOffset>5193030</wp:posOffset>
          </wp:positionH>
          <wp:positionV relativeFrom="paragraph">
            <wp:posOffset>-340995</wp:posOffset>
          </wp:positionV>
          <wp:extent cx="1638300" cy="680085"/>
          <wp:effectExtent l="0" t="0" r="0" b="0"/>
          <wp:wrapNone/>
          <wp:docPr id="1"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680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36BB99C9" wp14:editId="560797F9">
          <wp:simplePos x="0" y="0"/>
          <wp:positionH relativeFrom="page">
            <wp:posOffset>-60960</wp:posOffset>
          </wp:positionH>
          <wp:positionV relativeFrom="paragraph">
            <wp:posOffset>-457200</wp:posOffset>
          </wp:positionV>
          <wp:extent cx="7897495" cy="1196975"/>
          <wp:effectExtent l="0" t="0" r="0" b="0"/>
          <wp:wrapNone/>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97495" cy="1196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E1438" w14:textId="77777777" w:rsidR="00693ED3" w:rsidRDefault="00693ED3" w:rsidP="00693ED3">
    <w:pPr>
      <w:keepNext/>
      <w:spacing w:after="0" w:line="240" w:lineRule="auto"/>
      <w:jc w:val="both"/>
      <w:outlineLvl w:val="0"/>
      <w:rPr>
        <w:rFonts w:ascii="Book Antiqua" w:hAnsi="Book Antiqua" w:cs="Book Antiqua"/>
        <w:b/>
        <w:bCs/>
        <w:sz w:val="24"/>
        <w:szCs w:val="24"/>
      </w:rPr>
    </w:pPr>
  </w:p>
  <w:p w14:paraId="1C1A8568" w14:textId="77777777" w:rsidR="00693ED3" w:rsidRDefault="00693ED3" w:rsidP="00693ED3">
    <w:pPr>
      <w:keepNext/>
      <w:spacing w:after="0" w:line="240" w:lineRule="auto"/>
      <w:jc w:val="both"/>
      <w:outlineLvl w:val="0"/>
      <w:rPr>
        <w:rFonts w:ascii="Book Antiqua" w:hAnsi="Book Antiqua" w:cs="Book Antiqua"/>
        <w:b/>
        <w:bCs/>
        <w:sz w:val="24"/>
        <w:szCs w:val="24"/>
      </w:rPr>
    </w:pPr>
  </w:p>
  <w:p w14:paraId="407CB12F" w14:textId="77777777" w:rsidR="00A52403" w:rsidRDefault="00A52403" w:rsidP="00693ED3">
    <w:pPr>
      <w:keepNext/>
      <w:spacing w:after="0" w:line="240" w:lineRule="auto"/>
      <w:jc w:val="both"/>
      <w:outlineLvl w:val="0"/>
      <w:rPr>
        <w:rFonts w:ascii="Book Antiqua" w:hAnsi="Book Antiqua" w:cs="Book Antiqua"/>
        <w:b/>
        <w:bCs/>
        <w:sz w:val="24"/>
        <w:szCs w:val="24"/>
      </w:rPr>
    </w:pPr>
  </w:p>
  <w:p w14:paraId="0AA64014" w14:textId="77777777" w:rsidR="00A52403" w:rsidRDefault="00A52403" w:rsidP="00693ED3">
    <w:pPr>
      <w:keepNext/>
      <w:spacing w:after="0" w:line="240" w:lineRule="auto"/>
      <w:jc w:val="both"/>
      <w:outlineLvl w:val="0"/>
      <w:rPr>
        <w:rFonts w:ascii="Book Antiqua" w:hAnsi="Book Antiqua" w:cs="Book Antiqua"/>
        <w:b/>
        <w:bCs/>
        <w:sz w:val="24"/>
        <w:szCs w:val="24"/>
      </w:rPr>
    </w:pPr>
  </w:p>
  <w:p w14:paraId="26F4F73D" w14:textId="2F56C31E" w:rsidR="00693ED3" w:rsidRPr="00C535B5" w:rsidRDefault="00C535B5" w:rsidP="00C535B5">
    <w:pPr>
      <w:keepNext/>
      <w:jc w:val="both"/>
      <w:outlineLvl w:val="0"/>
      <w:rPr>
        <w:rFonts w:ascii="Arial" w:hAnsi="Arial" w:cs="Arial"/>
        <w:b/>
        <w:bCs/>
        <w:lang w:val="en-GB"/>
      </w:rPr>
    </w:pPr>
    <w:r w:rsidRPr="00446B30">
      <w:rPr>
        <w:rFonts w:ascii="Arial" w:hAnsi="Arial" w:cs="Arial"/>
        <w:b/>
        <w:bCs/>
        <w:lang w:val="en-GB"/>
      </w:rPr>
      <w:t>PUBLIC COMPETITION FOR EXAMS FOR N°…</w:t>
    </w:r>
    <w:proofErr w:type="gramStart"/>
    <w:r w:rsidRPr="00446B30">
      <w:rPr>
        <w:rFonts w:ascii="Arial" w:hAnsi="Arial" w:cs="Arial"/>
        <w:b/>
        <w:bCs/>
        <w:lang w:val="en-GB"/>
      </w:rPr>
      <w:t>…..</w:t>
    </w:r>
    <w:proofErr w:type="gramEnd"/>
    <w:r w:rsidRPr="00446B30">
      <w:rPr>
        <w:rFonts w:ascii="Arial" w:hAnsi="Arial" w:cs="Arial"/>
        <w:b/>
        <w:bCs/>
        <w:lang w:val="en-GB"/>
      </w:rPr>
      <w:t xml:space="preserve"> POSITIONS OF </w:t>
    </w:r>
    <w:r>
      <w:rPr>
        <w:rFonts w:ascii="Arial" w:hAnsi="Arial" w:cs="Arial"/>
        <w:b/>
        <w:bCs/>
        <w:lang w:val="en-GB"/>
      </w:rPr>
      <w:t>PHD PROGRAMME</w:t>
    </w:r>
    <w:r w:rsidRPr="00446B30">
      <w:rPr>
        <w:rFonts w:ascii="Arial" w:hAnsi="Arial" w:cs="Arial"/>
        <w:b/>
        <w:bCs/>
        <w:lang w:val="en-GB"/>
      </w:rPr>
      <w:t xml:space="preserve"> IN…………….…………………………………………………………., 39TH CYCLE PUBLISHED IN THE OFFICIAL GAZETTE 4TH SPECIAL SERIES COMPETITIONS AND EXAMINATIONS NO. 41 DATED 30/05/2023.</w:t>
    </w:r>
    <w:r>
      <w:rPr>
        <w:rFonts w:ascii="Trebuchet MS" w:hAnsi="Trebuchet MS"/>
        <w:color w:val="222222"/>
        <w:shd w:val="clear" w:color="auto" w:fill="FFFFFF"/>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F40C4"/>
    <w:multiLevelType w:val="hybridMultilevel"/>
    <w:tmpl w:val="C3E0E9FC"/>
    <w:lvl w:ilvl="0" w:tplc="04100019">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 w15:restartNumberingAfterBreak="0">
    <w:nsid w:val="211149FA"/>
    <w:multiLevelType w:val="hybridMultilevel"/>
    <w:tmpl w:val="80D8728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CB1648C"/>
    <w:multiLevelType w:val="hybridMultilevel"/>
    <w:tmpl w:val="3B9C1A2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75AF0115"/>
    <w:multiLevelType w:val="hybridMultilevel"/>
    <w:tmpl w:val="7B588274"/>
    <w:lvl w:ilvl="0" w:tplc="0410000F">
      <w:start w:val="1"/>
      <w:numFmt w:val="decimal"/>
      <w:lvlText w:val="%1."/>
      <w:lvlJc w:val="left"/>
      <w:pPr>
        <w:ind w:left="720" w:hanging="360"/>
      </w:pPr>
      <w:rPr>
        <w:rFonts w:cs="Times New Roman" w:hint="default"/>
      </w:rPr>
    </w:lvl>
    <w:lvl w:ilvl="1" w:tplc="3A2868DC">
      <w:start w:val="1"/>
      <w:numFmt w:val="lowerLetter"/>
      <w:lvlText w:val="%2)"/>
      <w:lvlJc w:val="left"/>
      <w:pPr>
        <w:ind w:left="1440" w:hanging="360"/>
      </w:pPr>
      <w:rPr>
        <w:rFonts w:cs="Times New Roman" w:hint="default"/>
      </w:rPr>
    </w:lvl>
    <w:lvl w:ilvl="2" w:tplc="05ACDAA8">
      <w:start w:val="3"/>
      <w:numFmt w:val="bullet"/>
      <w:lvlText w:val="-"/>
      <w:lvlJc w:val="left"/>
      <w:pPr>
        <w:ind w:left="2340" w:hanging="360"/>
      </w:pPr>
      <w:rPr>
        <w:rFonts w:ascii="Arial" w:eastAsia="Times New Roman" w:hAnsi="Arial" w:hint="default"/>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D3"/>
    <w:rsid w:val="000024FB"/>
    <w:rsid w:val="000E2126"/>
    <w:rsid w:val="00150E99"/>
    <w:rsid w:val="00173513"/>
    <w:rsid w:val="001B0F25"/>
    <w:rsid w:val="002A68A5"/>
    <w:rsid w:val="00371DCE"/>
    <w:rsid w:val="003C6EC4"/>
    <w:rsid w:val="00402055"/>
    <w:rsid w:val="004E5016"/>
    <w:rsid w:val="00512FB6"/>
    <w:rsid w:val="00693ED3"/>
    <w:rsid w:val="006A64E7"/>
    <w:rsid w:val="008C064A"/>
    <w:rsid w:val="009F29A9"/>
    <w:rsid w:val="00A52403"/>
    <w:rsid w:val="00AC3F72"/>
    <w:rsid w:val="00B17FA2"/>
    <w:rsid w:val="00B23FB4"/>
    <w:rsid w:val="00B73578"/>
    <w:rsid w:val="00BB33FC"/>
    <w:rsid w:val="00BC50B8"/>
    <w:rsid w:val="00C535B5"/>
    <w:rsid w:val="00CF093E"/>
    <w:rsid w:val="00DA6785"/>
    <w:rsid w:val="00E247F6"/>
    <w:rsid w:val="00E354FA"/>
    <w:rsid w:val="00ED53B8"/>
    <w:rsid w:val="00F06F9B"/>
    <w:rsid w:val="00F232A8"/>
    <w:rsid w:val="00FA30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E4361F"/>
  <w14:defaultImageDpi w14:val="0"/>
  <w15:docId w15:val="{027F0D95-E68F-4BF4-9AB1-784BE0AD0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693ED3"/>
    <w:pPr>
      <w:spacing w:after="0" w:line="240" w:lineRule="auto"/>
    </w:pPr>
    <w:rPr>
      <w:rFonts w:ascii="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formattatoHTML">
    <w:name w:val="HTML Preformatted"/>
    <w:basedOn w:val="Normale"/>
    <w:link w:val="PreformattatoHTMLCarattere"/>
    <w:uiPriority w:val="99"/>
    <w:unhideWhenUsed/>
    <w:rsid w:val="00693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693ED3"/>
    <w:rPr>
      <w:rFonts w:ascii="Courier New" w:hAnsi="Courier New" w:cs="Courier New"/>
      <w:sz w:val="20"/>
      <w:szCs w:val="20"/>
    </w:rPr>
  </w:style>
  <w:style w:type="paragraph" w:styleId="Intestazione">
    <w:name w:val="header"/>
    <w:basedOn w:val="Normale"/>
    <w:link w:val="IntestazioneCarattere"/>
    <w:uiPriority w:val="99"/>
    <w:unhideWhenUsed/>
    <w:rsid w:val="00693ED3"/>
    <w:pPr>
      <w:tabs>
        <w:tab w:val="center" w:pos="4819"/>
        <w:tab w:val="right" w:pos="9638"/>
      </w:tabs>
    </w:pPr>
  </w:style>
  <w:style w:type="character" w:customStyle="1" w:styleId="IntestazioneCarattere">
    <w:name w:val="Intestazione Carattere"/>
    <w:basedOn w:val="Carpredefinitoparagrafo"/>
    <w:link w:val="Intestazione"/>
    <w:uiPriority w:val="99"/>
    <w:locked/>
    <w:rsid w:val="00693ED3"/>
    <w:rPr>
      <w:rFonts w:cs="Times New Roman"/>
    </w:rPr>
  </w:style>
  <w:style w:type="paragraph" w:styleId="Pidipagina">
    <w:name w:val="footer"/>
    <w:basedOn w:val="Normale"/>
    <w:link w:val="PidipaginaCarattere"/>
    <w:uiPriority w:val="99"/>
    <w:unhideWhenUsed/>
    <w:rsid w:val="00693ED3"/>
    <w:pPr>
      <w:tabs>
        <w:tab w:val="center" w:pos="4819"/>
        <w:tab w:val="right" w:pos="9638"/>
      </w:tabs>
    </w:pPr>
  </w:style>
  <w:style w:type="character" w:customStyle="1" w:styleId="PidipaginaCarattere">
    <w:name w:val="Piè di pagina Carattere"/>
    <w:basedOn w:val="Carpredefinitoparagrafo"/>
    <w:link w:val="Pidipagina"/>
    <w:uiPriority w:val="99"/>
    <w:locked/>
    <w:rsid w:val="00693ED3"/>
    <w:rPr>
      <w:rFonts w:cs="Times New Roman"/>
    </w:rPr>
  </w:style>
  <w:style w:type="paragraph" w:styleId="Testonotaapidipagina">
    <w:name w:val="footnote text"/>
    <w:basedOn w:val="Normale"/>
    <w:link w:val="TestonotaapidipaginaCarattere"/>
    <w:uiPriority w:val="99"/>
    <w:semiHidden/>
    <w:unhideWhenUsed/>
    <w:rsid w:val="00F232A8"/>
    <w:pPr>
      <w:spacing w:after="0" w:line="240" w:lineRule="auto"/>
      <w:ind w:left="1146" w:right="461" w:hanging="10"/>
      <w:jc w:val="both"/>
    </w:pPr>
    <w:rPr>
      <w:rFonts w:ascii="Times New Roman" w:hAnsi="Times New Roman"/>
      <w:color w:val="000000"/>
      <w:sz w:val="20"/>
      <w:szCs w:val="20"/>
    </w:rPr>
  </w:style>
  <w:style w:type="character" w:customStyle="1" w:styleId="TestonotaapidipaginaCarattere">
    <w:name w:val="Testo nota a piè di pagina Carattere"/>
    <w:basedOn w:val="Carpredefinitoparagrafo"/>
    <w:link w:val="Testonotaapidipagina"/>
    <w:uiPriority w:val="99"/>
    <w:semiHidden/>
    <w:locked/>
    <w:rsid w:val="00F232A8"/>
    <w:rPr>
      <w:rFonts w:ascii="Times New Roman" w:hAnsi="Times New Roman" w:cs="Times New Roman"/>
      <w:color w:val="000000"/>
      <w:sz w:val="20"/>
      <w:szCs w:val="20"/>
    </w:rPr>
  </w:style>
  <w:style w:type="character" w:styleId="Rimandonotaapidipagina">
    <w:name w:val="footnote reference"/>
    <w:basedOn w:val="Carpredefinitoparagrafo"/>
    <w:uiPriority w:val="99"/>
    <w:semiHidden/>
    <w:unhideWhenUsed/>
    <w:rsid w:val="00F23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789</Words>
  <Characters>4502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Pietralunga</dc:creator>
  <cp:keywords/>
  <dc:description/>
  <cp:lastModifiedBy>Kola Edmond</cp:lastModifiedBy>
  <cp:revision>5</cp:revision>
  <dcterms:created xsi:type="dcterms:W3CDTF">2023-06-22T11:17:00Z</dcterms:created>
  <dcterms:modified xsi:type="dcterms:W3CDTF">2023-06-27T07:54:00Z</dcterms:modified>
</cp:coreProperties>
</file>