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F8F42" w14:textId="77777777" w:rsidR="0022366A" w:rsidRPr="00890263" w:rsidRDefault="0022366A" w:rsidP="0022366A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890263">
        <w:rPr>
          <w:rFonts w:cstheme="minorHAnsi"/>
        </w:rPr>
        <w:t>Allegato 1 verbale seduta preliminare</w:t>
      </w:r>
    </w:p>
    <w:p w14:paraId="4EC4E766" w14:textId="77777777" w:rsidR="00C06B06" w:rsidRPr="00890263" w:rsidRDefault="00C06B06" w:rsidP="00C06B06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890263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890263">
        <w:rPr>
          <w:rFonts w:cstheme="minorHAnsi"/>
          <w:b/>
          <w:bCs/>
        </w:rPr>
        <w:t>…….</w:t>
      </w:r>
      <w:proofErr w:type="gramEnd"/>
      <w:r w:rsidRPr="00890263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890263">
        <w:rPr>
          <w:rFonts w:cstheme="minorHAnsi"/>
          <w:b/>
          <w:bCs/>
        </w:rPr>
        <w:t>… )</w:t>
      </w:r>
      <w:proofErr w:type="gramEnd"/>
    </w:p>
    <w:p w14:paraId="72EE056D" w14:textId="77777777" w:rsidR="00C06B06" w:rsidRPr="00890263" w:rsidRDefault="00C06B06" w:rsidP="00C06B06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890263">
        <w:rPr>
          <w:rFonts w:cstheme="minorHAnsi"/>
          <w:b/>
          <w:bCs/>
        </w:rPr>
        <w:t>Codice concorso ……………………………</w:t>
      </w:r>
      <w:proofErr w:type="gramStart"/>
      <w:r w:rsidRPr="00890263">
        <w:rPr>
          <w:rFonts w:cstheme="minorHAnsi"/>
          <w:b/>
          <w:bCs/>
        </w:rPr>
        <w:t>…….</w:t>
      </w:r>
      <w:proofErr w:type="gramEnd"/>
      <w:r w:rsidRPr="00890263">
        <w:rPr>
          <w:rFonts w:cstheme="minorHAnsi"/>
          <w:b/>
          <w:bCs/>
        </w:rPr>
        <w:t>.</w:t>
      </w:r>
    </w:p>
    <w:p w14:paraId="1DE0A920" w14:textId="77777777" w:rsidR="00C06B06" w:rsidRPr="00890263" w:rsidRDefault="00C06B06" w:rsidP="0022366A">
      <w:pPr>
        <w:jc w:val="both"/>
        <w:rPr>
          <w:rFonts w:cstheme="minorHAnsi"/>
        </w:rPr>
      </w:pPr>
    </w:p>
    <w:p w14:paraId="0C879C71" w14:textId="75D595CC" w:rsidR="0022366A" w:rsidRPr="00890263" w:rsidRDefault="0022366A" w:rsidP="0022366A">
      <w:pPr>
        <w:jc w:val="both"/>
        <w:rPr>
          <w:rFonts w:cstheme="minorHAnsi"/>
        </w:rPr>
      </w:pPr>
      <w:r w:rsidRPr="00890263">
        <w:rPr>
          <w:rFonts w:cstheme="minorHAnsi"/>
        </w:rPr>
        <w:t>La Commissione giudicatrice della procedura selettiva di chiamata, indetta con D.R. n. …</w:t>
      </w:r>
      <w:proofErr w:type="gramStart"/>
      <w:r w:rsidRPr="00890263">
        <w:rPr>
          <w:rFonts w:cstheme="minorHAnsi"/>
        </w:rPr>
        <w:t>…….</w:t>
      </w:r>
      <w:proofErr w:type="gramEnd"/>
      <w:r w:rsidRPr="00890263">
        <w:rPr>
          <w:rFonts w:cstheme="minorHAnsi"/>
        </w:rPr>
        <w:t>. del ……………</w:t>
      </w:r>
      <w:proofErr w:type="gramStart"/>
      <w:r w:rsidRPr="00890263">
        <w:rPr>
          <w:rFonts w:cstheme="minorHAnsi"/>
        </w:rPr>
        <w:t>…….</w:t>
      </w:r>
      <w:proofErr w:type="gramEnd"/>
      <w:r w:rsidRPr="00890263">
        <w:rPr>
          <w:rFonts w:cstheme="minorHAnsi"/>
        </w:rPr>
        <w:t xml:space="preserve">., per n. ……. </w:t>
      </w:r>
      <w:proofErr w:type="gramStart"/>
      <w:r w:rsidRPr="00890263">
        <w:rPr>
          <w:rFonts w:cstheme="minorHAnsi"/>
        </w:rPr>
        <w:t>post..</w:t>
      </w:r>
      <w:proofErr w:type="gramEnd"/>
      <w:r w:rsidRPr="00890263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890263">
        <w:rPr>
          <w:rFonts w:cstheme="minorHAnsi"/>
        </w:rPr>
        <w:t>…….</w:t>
      </w:r>
      <w:proofErr w:type="gramEnd"/>
      <w:r w:rsidRPr="00890263">
        <w:rPr>
          <w:rFonts w:cstheme="minorHAnsi"/>
        </w:rPr>
        <w:t>. – Settore scientifico-disciplinare ……………… - presso il Dipartimento di …………</w:t>
      </w:r>
      <w:proofErr w:type="gramStart"/>
      <w:r w:rsidRPr="00890263">
        <w:rPr>
          <w:rFonts w:cstheme="minorHAnsi"/>
        </w:rPr>
        <w:t>…….</w:t>
      </w:r>
      <w:proofErr w:type="gramEnd"/>
      <w:r w:rsidRPr="00890263">
        <w:rPr>
          <w:rFonts w:cstheme="minorHAnsi"/>
        </w:rPr>
        <w:t xml:space="preserve">. dell’Università degli Studi di Roma “La Sapienza”, nominata con D.R. n. …………. del …………………..., presa visione del Decreto Rettorale di indizione della presente procedura selettiva e degli atti normativi e regolamentari che disciplinano la predetta procedura concorsuale, in conformità a quanto previsto dal decreto ministeriale 25 maggio 2011, n. 243 e dagli artt. 1 e 5 del bando di concorso, stabilisce che la valutazione preliminare individuale e comparativa della produzione scientifica dei candidati, ivi compresa la tesi di dottorato o della scuola di specializzazione, del curriculum e dei titoli sarà effettuata sulla base dei seguenti criteri selettivi: </w:t>
      </w:r>
      <w:r w:rsidRPr="00890263">
        <w:rPr>
          <w:rFonts w:cstheme="minorHAnsi"/>
          <w:highlight w:val="yellow"/>
        </w:rPr>
        <w:t>[riportare esattamente, senza alcuna aggiunta od omissione i criteri selettivi indicati nell’art. 1 del bando di concorso per la specifica procedura di reclutamento]</w:t>
      </w:r>
    </w:p>
    <w:p w14:paraId="49894DC7" w14:textId="77777777" w:rsidR="0022366A" w:rsidRPr="00890263" w:rsidRDefault="0022366A" w:rsidP="0022366A">
      <w:pPr>
        <w:ind w:left="360"/>
        <w:jc w:val="both"/>
        <w:rPr>
          <w:rFonts w:cstheme="minorHAnsi"/>
          <w:b/>
          <w:bCs/>
        </w:rPr>
      </w:pPr>
      <w:r w:rsidRPr="00890263">
        <w:rPr>
          <w:rFonts w:cstheme="minorHAnsi"/>
          <w:b/>
          <w:bCs/>
        </w:rPr>
        <w:t>Criteri di valutazione individuale</w:t>
      </w:r>
    </w:p>
    <w:p w14:paraId="3379A402" w14:textId="77777777" w:rsidR="0022366A" w:rsidRPr="00890263" w:rsidRDefault="0022366A" w:rsidP="0022366A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5C95BCF6" w14:textId="77777777" w:rsidR="0022366A" w:rsidRPr="00890263" w:rsidRDefault="0022366A" w:rsidP="0022366A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777F1A35" w14:textId="77777777" w:rsidR="0022366A" w:rsidRPr="00890263" w:rsidRDefault="0022366A" w:rsidP="0022366A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621D5239" w14:textId="77777777" w:rsidR="0022366A" w:rsidRPr="00890263" w:rsidRDefault="0022366A" w:rsidP="0022366A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19E82F00" w14:textId="77777777" w:rsidR="0022366A" w:rsidRPr="00890263" w:rsidRDefault="0022366A" w:rsidP="0022366A">
      <w:pPr>
        <w:pStyle w:val="Paragrafoelenco"/>
        <w:numPr>
          <w:ilvl w:val="0"/>
          <w:numId w:val="3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……………………………………..</w:t>
      </w:r>
    </w:p>
    <w:p w14:paraId="7B5FC1C1" w14:textId="77777777" w:rsidR="0022366A" w:rsidRPr="00890263" w:rsidRDefault="0022366A" w:rsidP="0022366A">
      <w:pPr>
        <w:ind w:left="360"/>
        <w:jc w:val="both"/>
        <w:rPr>
          <w:rFonts w:cstheme="minorHAnsi"/>
          <w:b/>
          <w:bCs/>
        </w:rPr>
      </w:pPr>
      <w:r w:rsidRPr="00890263">
        <w:rPr>
          <w:rFonts w:cstheme="minorHAnsi"/>
          <w:b/>
          <w:bCs/>
        </w:rPr>
        <w:t>Criteri comparativi</w:t>
      </w:r>
    </w:p>
    <w:p w14:paraId="2398F024" w14:textId="77777777" w:rsidR="0022366A" w:rsidRPr="00890263" w:rsidRDefault="0022366A" w:rsidP="0022366A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3D4165A0" w14:textId="77777777" w:rsidR="0022366A" w:rsidRPr="00890263" w:rsidRDefault="0022366A" w:rsidP="0022366A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10E48F15" w14:textId="77777777" w:rsidR="0022366A" w:rsidRPr="00890263" w:rsidRDefault="0022366A" w:rsidP="0022366A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2B51D7F2" w14:textId="77777777" w:rsidR="0022366A" w:rsidRPr="00890263" w:rsidRDefault="0022366A" w:rsidP="0022366A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7DD6250B" w14:textId="77777777" w:rsidR="0022366A" w:rsidRPr="00890263" w:rsidRDefault="0022366A" w:rsidP="0022366A">
      <w:pPr>
        <w:pStyle w:val="Paragrafoelenco"/>
        <w:numPr>
          <w:ilvl w:val="0"/>
          <w:numId w:val="4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……………………………………..</w:t>
      </w:r>
    </w:p>
    <w:p w14:paraId="1B5817CD" w14:textId="77777777" w:rsidR="0022366A" w:rsidRPr="00890263" w:rsidRDefault="0022366A" w:rsidP="0022366A">
      <w:pPr>
        <w:ind w:left="360"/>
        <w:jc w:val="both"/>
        <w:rPr>
          <w:rFonts w:cstheme="minorHAnsi"/>
          <w:b/>
          <w:bCs/>
        </w:rPr>
      </w:pPr>
      <w:r w:rsidRPr="00890263">
        <w:rPr>
          <w:rFonts w:cstheme="minorHAnsi"/>
          <w:b/>
          <w:bCs/>
        </w:rPr>
        <w:t>Ulteriori criteri di valutazione:</w:t>
      </w:r>
    </w:p>
    <w:p w14:paraId="1D95D03E" w14:textId="77777777" w:rsidR="0022366A" w:rsidRPr="00890263" w:rsidRDefault="0022366A" w:rsidP="0022366A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176299EA" w14:textId="77777777" w:rsidR="0022366A" w:rsidRPr="00890263" w:rsidRDefault="0022366A" w:rsidP="0022366A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3CB7731C" w14:textId="77777777" w:rsidR="0022366A" w:rsidRPr="00890263" w:rsidRDefault="0022366A" w:rsidP="0022366A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64C7CF7D" w14:textId="77777777" w:rsidR="0022366A" w:rsidRPr="00890263" w:rsidRDefault="0022366A" w:rsidP="0022366A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606FD1D7" w14:textId="77777777" w:rsidR="0022366A" w:rsidRPr="00890263" w:rsidRDefault="0022366A" w:rsidP="0022366A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……………………………………..</w:t>
      </w:r>
    </w:p>
    <w:p w14:paraId="3CD2005E" w14:textId="370C48C1" w:rsidR="0022366A" w:rsidRPr="00890263" w:rsidRDefault="0022366A" w:rsidP="0022366A">
      <w:pPr>
        <w:spacing w:after="120" w:line="240" w:lineRule="auto"/>
        <w:ind w:left="491"/>
        <w:jc w:val="both"/>
        <w:rPr>
          <w:rFonts w:cstheme="minorHAnsi"/>
        </w:rPr>
      </w:pPr>
      <w:r w:rsidRPr="00890263">
        <w:rPr>
          <w:rFonts w:cstheme="minorHAnsi"/>
        </w:rPr>
        <w:t xml:space="preserve">La </w:t>
      </w:r>
      <w:r w:rsidR="00890263" w:rsidRPr="00890263">
        <w:rPr>
          <w:rFonts w:cstheme="minorHAnsi"/>
        </w:rPr>
        <w:t>C</w:t>
      </w:r>
      <w:r w:rsidRPr="00890263">
        <w:rPr>
          <w:rFonts w:cstheme="minorHAnsi"/>
        </w:rPr>
        <w:t>ommissione stabilisce altresì che la valutazione della prova orale, volta ad accertare per i candidati ammessi al colloquio in forma seminariale, ove previste dal bando, l’adeguata conoscenza di una lingua straniera o, eventualmente, la conoscenza della lingua italiana per i candidati stranieri sarà effettuata sulla base dei seguenti criteri:</w:t>
      </w:r>
    </w:p>
    <w:p w14:paraId="5F64F921" w14:textId="77777777" w:rsidR="0022366A" w:rsidRPr="00890263" w:rsidRDefault="0022366A" w:rsidP="0022366A">
      <w:pPr>
        <w:pStyle w:val="Paragrafoelenco"/>
        <w:numPr>
          <w:ilvl w:val="0"/>
          <w:numId w:val="6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3FB63ECE" w14:textId="77777777" w:rsidR="0022366A" w:rsidRPr="00890263" w:rsidRDefault="0022366A" w:rsidP="0022366A">
      <w:pPr>
        <w:pStyle w:val="Paragrafoelenco"/>
        <w:numPr>
          <w:ilvl w:val="0"/>
          <w:numId w:val="6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4D943A2E" w14:textId="77777777" w:rsidR="0022366A" w:rsidRPr="00890263" w:rsidRDefault="0022366A" w:rsidP="0022366A">
      <w:pPr>
        <w:pStyle w:val="Paragrafoelenco"/>
        <w:numPr>
          <w:ilvl w:val="0"/>
          <w:numId w:val="6"/>
        </w:numPr>
        <w:jc w:val="both"/>
        <w:rPr>
          <w:rFonts w:cstheme="minorHAnsi"/>
        </w:rPr>
      </w:pPr>
      <w:r w:rsidRPr="00890263">
        <w:rPr>
          <w:rFonts w:cstheme="minorHAnsi"/>
        </w:rPr>
        <w:lastRenderedPageBreak/>
        <w:t>………………………………………</w:t>
      </w:r>
    </w:p>
    <w:p w14:paraId="4A88CC47" w14:textId="77777777" w:rsidR="0022366A" w:rsidRPr="00890263" w:rsidRDefault="0022366A" w:rsidP="0022366A">
      <w:pPr>
        <w:pStyle w:val="Paragrafoelenco"/>
        <w:numPr>
          <w:ilvl w:val="0"/>
          <w:numId w:val="6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7D11AA43" w14:textId="77777777" w:rsidR="0022366A" w:rsidRPr="00890263" w:rsidRDefault="0022366A" w:rsidP="0022366A">
      <w:pPr>
        <w:pStyle w:val="Paragrafoelenco"/>
        <w:numPr>
          <w:ilvl w:val="0"/>
          <w:numId w:val="6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……………………………………..</w:t>
      </w:r>
    </w:p>
    <w:p w14:paraId="29BDD0D1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La valutazione individuale e comparativa di ciascun candidato sarà effettuata con riferimento allo specifico </w:t>
      </w:r>
      <w:r w:rsidRPr="00890263">
        <w:rPr>
          <w:rFonts w:cstheme="minorHAnsi"/>
          <w:highlight w:val="yellow"/>
        </w:rPr>
        <w:t>SC</w:t>
      </w:r>
      <w:r w:rsidRPr="00890263">
        <w:rPr>
          <w:rFonts w:cstheme="minorHAnsi"/>
        </w:rPr>
        <w:t xml:space="preserve">/GSD - SSD a concorso, considerando il </w:t>
      </w:r>
      <w:r w:rsidRPr="00890263">
        <w:rPr>
          <w:rFonts w:cstheme="minorHAnsi"/>
          <w:i/>
          <w:iCs/>
        </w:rPr>
        <w:t>curriculum</w:t>
      </w:r>
      <w:r w:rsidRPr="00890263">
        <w:rPr>
          <w:rFonts w:cstheme="minorHAnsi"/>
        </w:rPr>
        <w:t xml:space="preserve"> (produzione scientifica) ed i seguenti titoli, debitamente documentati (prevalentemente o esclusivamente mediante autocertificazione ai sensi della normativa vigente) dai candidati: </w:t>
      </w:r>
    </w:p>
    <w:p w14:paraId="72009ACB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bookmarkStart w:id="0" w:name="_Hlk138965750"/>
      <w:r w:rsidRPr="00890263">
        <w:rPr>
          <w:rFonts w:cstheme="minorHAnsi"/>
        </w:rPr>
        <w:t xml:space="preserve">dottorato di ricerca o equipollenti, ovvero, per i settori interessati, il diploma di specializzazione medica o equivalente, conseguito in Italia o all'estero; </w:t>
      </w:r>
    </w:p>
    <w:p w14:paraId="1C3F58C8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eventuale attività didattica a livello universitario in Italia o all'estero; </w:t>
      </w:r>
    </w:p>
    <w:p w14:paraId="453DAE06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documentata attività di formazione o di ricerca presso qualificati istituti italiani o stranieri; </w:t>
      </w:r>
    </w:p>
    <w:p w14:paraId="6A49ECF3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documentata attività in campo clinico relativamente ai settori concorsuali nei quali sono richieste tali specifiche competenze; </w:t>
      </w:r>
    </w:p>
    <w:p w14:paraId="31141F23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realizzazione di attività progettuale relativamente ai settori concorsuali nei quali è prevista; </w:t>
      </w:r>
    </w:p>
    <w:p w14:paraId="6BFB5B07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organizzazione, direzione e coordinamento di gruppi di ricerca nazionali e internazionali, o partecipazione agli stessi; </w:t>
      </w:r>
    </w:p>
    <w:p w14:paraId="24E0092A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titolarità di brevetti relativamente ai settori concorsuali nei quali è prevista; </w:t>
      </w:r>
    </w:p>
    <w:p w14:paraId="41CC6035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relatore a congressi e convegni nazionali e internazionali; </w:t>
      </w:r>
    </w:p>
    <w:p w14:paraId="5893A3D3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premi e riconoscimenti nazionali e internazionali per attività di ricerca; </w:t>
      </w:r>
    </w:p>
    <w:p w14:paraId="3300B5F0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diploma di specializzazione europea riconosciuto da Board internazionali, relativamente a quei settori concorsuali nei quali è prevista. </w:t>
      </w:r>
    </w:p>
    <w:bookmarkEnd w:id="0"/>
    <w:p w14:paraId="3D507B53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Nell'effettuare la valutazione preliminare comparativa dei candidati, saranno presi in considerazione esclusivamente pubblicazioni o testi accettati per la pubblicazione secondo le norme vigenti, nonché saggi inseriti in opere collettanee ed articoli editi su riviste in formato cartaceo o digitale con l'esclusione di note interne o rapporti dipartimentali. La tesi di dottorato o titoli equipollenti </w:t>
      </w:r>
      <w:proofErr w:type="gramStart"/>
      <w:r w:rsidRPr="00890263">
        <w:rPr>
          <w:rFonts w:cstheme="minorHAnsi"/>
        </w:rPr>
        <w:t>saranno presi</w:t>
      </w:r>
      <w:proofErr w:type="gramEnd"/>
      <w:r w:rsidRPr="00890263">
        <w:rPr>
          <w:rFonts w:cstheme="minorHAnsi"/>
        </w:rPr>
        <w:t xml:space="preserve"> in considerazione anche in assenza delle condizioni innanzi indicate. </w:t>
      </w:r>
    </w:p>
    <w:p w14:paraId="5397EF66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La valutazione comparativa delle pubblicazioni sarà effettuata sulla base dei seguenti criteri: </w:t>
      </w:r>
    </w:p>
    <w:p w14:paraId="06C80A81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congruenza con il </w:t>
      </w:r>
      <w:r w:rsidRPr="00890263">
        <w:rPr>
          <w:rFonts w:cstheme="minorHAnsi"/>
          <w:highlight w:val="yellow"/>
        </w:rPr>
        <w:t>SC</w:t>
      </w:r>
      <w:r w:rsidRPr="00890263">
        <w:rPr>
          <w:rFonts w:cstheme="minorHAnsi"/>
        </w:rPr>
        <w:t xml:space="preserve">/GSD per il quale è bandita la procedura e con l'eventuale profilo, definito esclusivamente tramite indicazione di uno o più SSD, ovvero con tematiche interdisciplinari ad essi correlate; </w:t>
      </w:r>
    </w:p>
    <w:p w14:paraId="4347A04C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rilevanza scientifica della collocazione editoriale e diffusione all'interno della comunità scientifica; </w:t>
      </w:r>
    </w:p>
    <w:p w14:paraId="2DDD6E9C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originalità, innovatività, rigore metodologico e rilevanza di ciascuna pubblicazione scientifica; </w:t>
      </w:r>
    </w:p>
    <w:p w14:paraId="22E918D6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</w:rPr>
      </w:pPr>
      <w:r w:rsidRPr="00890263">
        <w:rPr>
          <w:rFonts w:cstheme="minorHAnsi"/>
        </w:rPr>
        <w:t xml:space="preserve">determinazione analitica, anche sulla base di criteri riconosciuti nella comunità scientifica internazionale di riferimento, dell'apporto individuale del candidato nel caso di partecipazione del medesimo a lavori in collaborazione. </w:t>
      </w:r>
    </w:p>
    <w:p w14:paraId="636A8C20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Saranno altresì valutate la consistenza complessiva della produzione scientifica del candidato, l'intensità e la continuità temporale della stessa, fatti salvi i periodi, adeguatamente documentati, di allontanamento non volontario dall'attività di ricerca, con particolare riferimento alle funzioni genitoriali. </w:t>
      </w:r>
    </w:p>
    <w:p w14:paraId="098EA549" w14:textId="77777777" w:rsidR="0022366A" w:rsidRPr="00890263" w:rsidRDefault="0022366A" w:rsidP="0022366A">
      <w:pPr>
        <w:tabs>
          <w:tab w:val="left" w:pos="5954"/>
        </w:tabs>
        <w:spacing w:after="120"/>
        <w:ind w:right="-2"/>
        <w:jc w:val="both"/>
        <w:outlineLvl w:val="0"/>
        <w:rPr>
          <w:rFonts w:cstheme="minorHAnsi"/>
        </w:rPr>
      </w:pPr>
      <w:r w:rsidRPr="00890263">
        <w:rPr>
          <w:rFonts w:cstheme="minorHAnsi"/>
          <w:highlight w:val="green"/>
        </w:rPr>
        <w:t>[Riportare il successivo capoverso solo per le procedure selettive in SC/GSD classificati come bibliometrici nelle procedure per l’Abilitazione Scientifica Nazionale]</w:t>
      </w:r>
    </w:p>
    <w:p w14:paraId="40678616" w14:textId="77777777" w:rsidR="0022366A" w:rsidRPr="00890263" w:rsidRDefault="0022366A" w:rsidP="0022366A">
      <w:pPr>
        <w:tabs>
          <w:tab w:val="left" w:pos="5954"/>
        </w:tabs>
        <w:spacing w:after="120"/>
        <w:ind w:right="-2"/>
        <w:jc w:val="both"/>
        <w:outlineLvl w:val="0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t xml:space="preserve">Nell'ambito dei settori classificati come bibliometrici nelle procedure per l’Abilitazione Scientifica Nazionale, la Commissione, al fine di stabilire i requisiti minimi e nel valutare le pubblicazioni, si avvarrà anche dei seguenti indicatori autocertificati dai candidati in relazione alla propria produzione scientifica complessiva e riferiti alla data di scadenza dei termini delle candidature: </w:t>
      </w:r>
    </w:p>
    <w:p w14:paraId="5E8FC60B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t xml:space="preserve">numero complessivo di lavori su banche dati internazionali riconosciute per l’Abilitazione Scientifica Nazionale; </w:t>
      </w:r>
    </w:p>
    <w:p w14:paraId="4CAD7BD9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t xml:space="preserve">indice di Hirsch; </w:t>
      </w:r>
    </w:p>
    <w:p w14:paraId="3675043B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lastRenderedPageBreak/>
        <w:t xml:space="preserve">numero totale delle citazioni; </w:t>
      </w:r>
    </w:p>
    <w:p w14:paraId="42302174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t xml:space="preserve">numero medio di citazioni per pubblicazione; </w:t>
      </w:r>
    </w:p>
    <w:p w14:paraId="4B8026B2" w14:textId="77777777" w:rsidR="0022366A" w:rsidRPr="00890263" w:rsidRDefault="0022366A" w:rsidP="0022366A">
      <w:pPr>
        <w:pStyle w:val="Paragrafoelenco"/>
        <w:numPr>
          <w:ilvl w:val="1"/>
          <w:numId w:val="1"/>
        </w:numPr>
        <w:spacing w:after="120" w:line="240" w:lineRule="auto"/>
        <w:ind w:left="851"/>
        <w:jc w:val="both"/>
        <w:rPr>
          <w:rFonts w:cstheme="minorHAnsi"/>
          <w:highlight w:val="green"/>
        </w:rPr>
      </w:pPr>
      <w:r w:rsidRPr="00890263">
        <w:rPr>
          <w:rFonts w:cstheme="minorHAnsi"/>
          <w:highlight w:val="green"/>
        </w:rPr>
        <w:t xml:space="preserve">«impact </w:t>
      </w:r>
      <w:proofErr w:type="spellStart"/>
      <w:r w:rsidRPr="00890263">
        <w:rPr>
          <w:rFonts w:cstheme="minorHAnsi"/>
          <w:highlight w:val="green"/>
        </w:rPr>
        <w:t>factor</w:t>
      </w:r>
      <w:proofErr w:type="spellEnd"/>
      <w:r w:rsidRPr="00890263">
        <w:rPr>
          <w:rFonts w:cstheme="minorHAnsi"/>
          <w:highlight w:val="green"/>
        </w:rPr>
        <w:t xml:space="preserve">» totale e «impact </w:t>
      </w:r>
      <w:proofErr w:type="spellStart"/>
      <w:r w:rsidRPr="00890263">
        <w:rPr>
          <w:rFonts w:cstheme="minorHAnsi"/>
          <w:highlight w:val="green"/>
        </w:rPr>
        <w:t>factor</w:t>
      </w:r>
      <w:proofErr w:type="spellEnd"/>
      <w:r w:rsidRPr="00890263">
        <w:rPr>
          <w:rFonts w:cstheme="minorHAnsi"/>
          <w:highlight w:val="green"/>
        </w:rPr>
        <w:t xml:space="preserve">» medio per pubblicazione, calcolati in relazione all’anno della pubblicazione. </w:t>
      </w:r>
    </w:p>
    <w:p w14:paraId="0E59666A" w14:textId="77777777" w:rsidR="0022366A" w:rsidRPr="00890263" w:rsidRDefault="0022366A" w:rsidP="0022366A">
      <w:pPr>
        <w:spacing w:after="120" w:line="240" w:lineRule="auto"/>
        <w:jc w:val="both"/>
        <w:rPr>
          <w:rFonts w:cstheme="minorHAnsi"/>
        </w:rPr>
      </w:pPr>
      <w:r w:rsidRPr="00890263">
        <w:rPr>
          <w:rFonts w:cstheme="minorHAnsi"/>
          <w:highlight w:val="cyan"/>
        </w:rPr>
        <w:t>[Riportare il successivo capoverso solo per le procedure selettive in SC/GSD classificati come bibliometrici nelle procedure per l’Abilitazione Scientifica Nazionale]</w:t>
      </w:r>
    </w:p>
    <w:p w14:paraId="16BAABA1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  <w:highlight w:val="cyan"/>
        </w:rPr>
      </w:pPr>
      <w:r w:rsidRPr="00890263">
        <w:rPr>
          <w:rFonts w:cstheme="minorHAnsi"/>
          <w:highlight w:val="cyan"/>
        </w:rPr>
        <w:t xml:space="preserve">Nell’ambito dei settori classificati come non bibliometrici nelle procedure per l’Abilitazione Scientifica Nazionale, la Commissione, al fine di stabilire i requisiti minimi e nel valutare le pubblicazioni, si avvarrà anche dei seguenti indicatori autocertificati dai candidati, in relazione alla propria produzione scientifica complessiva e riferiti alla data di scadenza dei termini delle candidature: </w:t>
      </w:r>
    </w:p>
    <w:p w14:paraId="1256FF08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highlight w:val="cyan"/>
        </w:rPr>
      </w:pPr>
      <w:r w:rsidRPr="00890263">
        <w:rPr>
          <w:rFonts w:cstheme="minorHAnsi"/>
          <w:highlight w:val="cyan"/>
        </w:rPr>
        <w:t xml:space="preserve">numero e qualità degli articoli e dei contributi; </w:t>
      </w:r>
    </w:p>
    <w:p w14:paraId="2E828A95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highlight w:val="cyan"/>
        </w:rPr>
      </w:pPr>
      <w:r w:rsidRPr="00890263">
        <w:rPr>
          <w:rFonts w:cstheme="minorHAnsi"/>
          <w:highlight w:val="cyan"/>
        </w:rPr>
        <w:t xml:space="preserve">numero e qualità degli articoli pubblicati su riviste di classe A; </w:t>
      </w:r>
    </w:p>
    <w:p w14:paraId="610B4434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highlight w:val="cyan"/>
        </w:rPr>
      </w:pPr>
      <w:r w:rsidRPr="00890263">
        <w:rPr>
          <w:rFonts w:cstheme="minorHAnsi"/>
          <w:highlight w:val="cyan"/>
        </w:rPr>
        <w:t xml:space="preserve">numero e qualità delle monografie. </w:t>
      </w:r>
    </w:p>
    <w:p w14:paraId="08446313" w14:textId="77777777" w:rsidR="0022366A" w:rsidRPr="00890263" w:rsidRDefault="0022366A" w:rsidP="0022366A">
      <w:pPr>
        <w:spacing w:after="120" w:line="240" w:lineRule="auto"/>
        <w:ind w:left="491"/>
        <w:jc w:val="both"/>
        <w:rPr>
          <w:rFonts w:cstheme="minorHAnsi"/>
        </w:rPr>
      </w:pPr>
    </w:p>
    <w:p w14:paraId="42997DC2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bookmarkStart w:id="1" w:name="_Hlk129644783"/>
      <w:r w:rsidRPr="00890263">
        <w:rPr>
          <w:rFonts w:cstheme="minorHAnsi"/>
        </w:rPr>
        <w:t>Sulla base della valutazione dei titoli e delle pubblicazioni ed in particolare sulla base della valutazione della produzione scientifica, la Commissione effettuerà una selezione dei candidati, approvando una “lista breve”, che includerà non meno del 10% e non più del 20% dei concorrenti e, comunque, non meno di 6 concorrenti.</w:t>
      </w:r>
    </w:p>
    <w:p w14:paraId="157A5B9D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Qualora il numero dei concorrenti sia inferiore o pari a 6, i candidati saranno tutti ammessi alla fase successiva. In tal caso non sarà eseguita la valutazione preliminare dei candidati e la Commissione redige una relazione contenente: </w:t>
      </w:r>
    </w:p>
    <w:p w14:paraId="12194B3D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t xml:space="preserve">profilo curriculare di ciascun candidato; </w:t>
      </w:r>
    </w:p>
    <w:p w14:paraId="6F681549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t xml:space="preserve">breve valutazione collegiale del profilo, anche in relazione alla linea di ricerca e ad eventuali altri requisiti stabiliti dal Bando, e valutazione </w:t>
      </w:r>
      <w:proofErr w:type="spellStart"/>
      <w:r w:rsidRPr="00890263">
        <w:rPr>
          <w:rFonts w:cstheme="minorHAnsi"/>
        </w:rPr>
        <w:t>scientometrica</w:t>
      </w:r>
      <w:proofErr w:type="spellEnd"/>
      <w:r w:rsidRPr="00890263">
        <w:rPr>
          <w:rFonts w:cstheme="minorHAnsi"/>
        </w:rPr>
        <w:t xml:space="preserve"> complessiva per i settori dove è prassi riconosciuta; </w:t>
      </w:r>
    </w:p>
    <w:p w14:paraId="07057F38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t>breve valutazione collegiale su profilo e produzione scientifica e selezione anche a maggioranza degli ammessi alle successive fasi concorsuali.</w:t>
      </w:r>
    </w:p>
    <w:p w14:paraId="78EE37D2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>I candidati che abbiano superato la fase di valutazione dei titoli e delle pubblicazioni saranno invitati a sostenere con la Commissione la discussione pubblica dei titoli e della produzione scientifica.</w:t>
      </w:r>
    </w:p>
    <w:p w14:paraId="65E06122" w14:textId="6D4FF7EA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  <w:highlight w:val="yellow"/>
        </w:rPr>
      </w:pPr>
      <w:r w:rsidRPr="00890263">
        <w:rPr>
          <w:rFonts w:cstheme="minorHAnsi"/>
          <w:highlight w:val="yellow"/>
        </w:rPr>
        <w:t xml:space="preserve">Al colloquio in forma seminariale seguirà una prova orale volta ad accertare l’adeguata conoscenza di una lingua straniera </w:t>
      </w:r>
      <w:proofErr w:type="gramStart"/>
      <w:r w:rsidRPr="00890263">
        <w:rPr>
          <w:rFonts w:cstheme="minorHAnsi"/>
          <w:highlight w:val="yellow"/>
        </w:rPr>
        <w:t>ed</w:t>
      </w:r>
      <w:proofErr w:type="gramEnd"/>
      <w:r w:rsidRPr="00890263">
        <w:rPr>
          <w:rFonts w:cstheme="minorHAnsi"/>
          <w:highlight w:val="yellow"/>
        </w:rPr>
        <w:t>, eventualmente, l’adeguata conoscenza della lingua italiana da parte dei candidati stranieri, che sarà valutata sulla base dei seguenti criteri:</w:t>
      </w:r>
    </w:p>
    <w:p w14:paraId="6BFB3A47" w14:textId="77777777" w:rsidR="0022366A" w:rsidRPr="00890263" w:rsidRDefault="0022366A" w:rsidP="0022366A">
      <w:pPr>
        <w:pStyle w:val="Paragrafoelenco"/>
        <w:numPr>
          <w:ilvl w:val="0"/>
          <w:numId w:val="7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1FF7A956" w14:textId="77777777" w:rsidR="0022366A" w:rsidRPr="00890263" w:rsidRDefault="0022366A" w:rsidP="0022366A">
      <w:pPr>
        <w:pStyle w:val="Paragrafoelenco"/>
        <w:numPr>
          <w:ilvl w:val="0"/>
          <w:numId w:val="7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7B27FF50" w14:textId="77777777" w:rsidR="0022366A" w:rsidRPr="00890263" w:rsidRDefault="0022366A" w:rsidP="0022366A">
      <w:pPr>
        <w:pStyle w:val="Paragrafoelenco"/>
        <w:numPr>
          <w:ilvl w:val="0"/>
          <w:numId w:val="7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487A8D4F" w14:textId="77777777" w:rsidR="0022366A" w:rsidRPr="00890263" w:rsidRDefault="0022366A" w:rsidP="0022366A">
      <w:pPr>
        <w:pStyle w:val="Paragrafoelenco"/>
        <w:numPr>
          <w:ilvl w:val="0"/>
          <w:numId w:val="7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………………………………………</w:t>
      </w:r>
    </w:p>
    <w:p w14:paraId="208BE33F" w14:textId="77777777" w:rsidR="0022366A" w:rsidRPr="00890263" w:rsidRDefault="0022366A" w:rsidP="0022366A">
      <w:pPr>
        <w:pStyle w:val="Paragrafoelenco"/>
        <w:numPr>
          <w:ilvl w:val="0"/>
          <w:numId w:val="7"/>
        </w:numPr>
        <w:jc w:val="both"/>
        <w:rPr>
          <w:rFonts w:cstheme="minorHAnsi"/>
        </w:rPr>
      </w:pPr>
      <w:r w:rsidRPr="00890263">
        <w:rPr>
          <w:rFonts w:cstheme="minorHAnsi"/>
        </w:rPr>
        <w:t>……………………………………..</w:t>
      </w:r>
    </w:p>
    <w:p w14:paraId="3199AFAB" w14:textId="7777777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  <w:highlight w:val="yellow"/>
        </w:rPr>
        <w:t xml:space="preserve">[Riportare il periodo evidenziato solo nel caso in cui le </w:t>
      </w:r>
      <w:proofErr w:type="gramStart"/>
      <w:r w:rsidRPr="00890263">
        <w:rPr>
          <w:rFonts w:cstheme="minorHAnsi"/>
          <w:highlight w:val="yellow"/>
        </w:rPr>
        <w:t>predette</w:t>
      </w:r>
      <w:proofErr w:type="gramEnd"/>
      <w:r w:rsidRPr="00890263">
        <w:rPr>
          <w:rFonts w:cstheme="minorHAnsi"/>
          <w:highlight w:val="yellow"/>
        </w:rPr>
        <w:t xml:space="preserve"> prove siano previste dal bando]</w:t>
      </w:r>
    </w:p>
    <w:p w14:paraId="6FF50D68" w14:textId="43E488FC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>A</w:t>
      </w:r>
      <w:r w:rsidR="00890263" w:rsidRPr="00890263">
        <w:rPr>
          <w:rFonts w:cstheme="minorHAnsi"/>
        </w:rPr>
        <w:t>l</w:t>
      </w:r>
      <w:r w:rsidRPr="00890263">
        <w:rPr>
          <w:rFonts w:cstheme="minorHAnsi"/>
        </w:rPr>
        <w:t xml:space="preserve"> seguito della discussione, la Commissione redigerà una relazione, contenente: </w:t>
      </w:r>
    </w:p>
    <w:p w14:paraId="27104A44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t>il punteggio attribuito ai titoli e a ciascuna delle pubblicazioni selezionate dai candidati ammessi al colloquio in forma seminariale nei limiti previsti dall’articolo 5, comma 1 del bando di concorso;</w:t>
      </w:r>
    </w:p>
    <w:p w14:paraId="36FDD35E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t xml:space="preserve">la valutazione collegiale del seminario, e, ove prevista dal bando, della prova diretta ad accertare l’adeguata conoscenza di una lingua straniera </w:t>
      </w:r>
      <w:proofErr w:type="gramStart"/>
      <w:r w:rsidRPr="00890263">
        <w:rPr>
          <w:rFonts w:cstheme="minorHAnsi"/>
        </w:rPr>
        <w:t>ed</w:t>
      </w:r>
      <w:proofErr w:type="gramEnd"/>
      <w:r w:rsidRPr="00890263">
        <w:rPr>
          <w:rFonts w:cstheme="minorHAnsi"/>
        </w:rPr>
        <w:t>, eventualmente, l’adeguata conoscenza della lingua italiana da parte dei candidati stranieri;</w:t>
      </w:r>
    </w:p>
    <w:p w14:paraId="42A28D9F" w14:textId="77777777" w:rsidR="0022366A" w:rsidRPr="00890263" w:rsidRDefault="0022366A" w:rsidP="0022366A">
      <w:pPr>
        <w:pStyle w:val="Paragrafoelenco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</w:rPr>
      </w:pPr>
      <w:r w:rsidRPr="00890263">
        <w:rPr>
          <w:rFonts w:cstheme="minorHAnsi"/>
        </w:rPr>
        <w:lastRenderedPageBreak/>
        <w:t xml:space="preserve">il giudizio collegiale comparativo complessivo in relazione al </w:t>
      </w:r>
      <w:r w:rsidRPr="00890263">
        <w:rPr>
          <w:rFonts w:cstheme="minorHAnsi"/>
          <w:i/>
          <w:iCs/>
        </w:rPr>
        <w:t>curriculum</w:t>
      </w:r>
      <w:r w:rsidRPr="00890263">
        <w:rPr>
          <w:rFonts w:cstheme="minorHAnsi"/>
        </w:rPr>
        <w:t>, al punteggio attribuito ai titoli e alle pubblicazioni e ad eventuali altri requisiti stabiliti dal bando.</w:t>
      </w:r>
    </w:p>
    <w:p w14:paraId="711FE9BF" w14:textId="742B4CF7" w:rsidR="0022366A" w:rsidRPr="00890263" w:rsidRDefault="0022366A" w:rsidP="0022366A">
      <w:pPr>
        <w:tabs>
          <w:tab w:val="left" w:pos="567"/>
        </w:tabs>
        <w:spacing w:after="120"/>
        <w:jc w:val="both"/>
        <w:rPr>
          <w:rFonts w:cstheme="minorHAnsi"/>
        </w:rPr>
      </w:pPr>
      <w:r w:rsidRPr="00890263">
        <w:rPr>
          <w:rFonts w:cstheme="minorHAnsi"/>
        </w:rPr>
        <w:t xml:space="preserve">Sulla base del giudizio collegiale complessivo, la Commissione, con deliberazione assunta a maggioranza assoluta dei </w:t>
      </w:r>
      <w:r w:rsidR="00890263" w:rsidRPr="00890263">
        <w:rPr>
          <w:rFonts w:cstheme="minorHAnsi"/>
        </w:rPr>
        <w:t xml:space="preserve">suoi </w:t>
      </w:r>
      <w:r w:rsidRPr="00890263">
        <w:rPr>
          <w:rFonts w:cstheme="minorHAnsi"/>
        </w:rPr>
        <w:t>componenti, formulerà una graduatoria di merito e individu</w:t>
      </w:r>
      <w:r w:rsidR="00890263" w:rsidRPr="00890263">
        <w:rPr>
          <w:rFonts w:cstheme="minorHAnsi"/>
        </w:rPr>
        <w:t>e</w:t>
      </w:r>
      <w:r w:rsidRPr="00890263">
        <w:rPr>
          <w:rFonts w:cstheme="minorHAnsi"/>
        </w:rPr>
        <w:t xml:space="preserve">rà il/i vincitore/i della procedura selettiva, in numero pari a quello dei posti messi a concorso. </w:t>
      </w:r>
    </w:p>
    <w:p w14:paraId="70572E2F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p w14:paraId="5B93AD32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p w14:paraId="4B683533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  <w:u w:val="single"/>
        </w:rPr>
      </w:pPr>
      <w:r w:rsidRPr="00890263">
        <w:rPr>
          <w:rFonts w:cstheme="minorHAnsi"/>
          <w:u w:val="single"/>
        </w:rPr>
        <w:t>Punteggio attribuibile ai titoli e alle pubblicazioni</w:t>
      </w:r>
    </w:p>
    <w:p w14:paraId="77CDBDCA" w14:textId="20C14D2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890263">
        <w:rPr>
          <w:rFonts w:cstheme="minorHAnsi"/>
        </w:rPr>
        <w:t xml:space="preserve">La Commissione stabilisce e di seguito riporta il punteggio massimo attribuibile a ciascun titolo e pubblicazione nel limite massimo di 60 punti per le pubblicazioni e </w:t>
      </w:r>
      <w:r w:rsidR="00890263" w:rsidRPr="00890263">
        <w:rPr>
          <w:rFonts w:cstheme="minorHAnsi"/>
        </w:rPr>
        <w:t xml:space="preserve">di </w:t>
      </w:r>
      <w:r w:rsidRPr="00890263">
        <w:rPr>
          <w:rFonts w:cstheme="minorHAnsi"/>
        </w:rPr>
        <w:t>40 punti per i titoli:</w:t>
      </w:r>
    </w:p>
    <w:p w14:paraId="2AF6ED8A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p w14:paraId="5E03840C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890263">
        <w:rPr>
          <w:rFonts w:cstheme="minorHAnsi"/>
        </w:rPr>
        <w:t>Pubblicazioni (massimo 60 punti)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2835"/>
      </w:tblGrid>
      <w:tr w:rsidR="0022366A" w:rsidRPr="00890263" w14:paraId="622BFA32" w14:textId="77777777" w:rsidTr="003144FF">
        <w:tc>
          <w:tcPr>
            <w:tcW w:w="5807" w:type="dxa"/>
          </w:tcPr>
          <w:p w14:paraId="47EDB40C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Tipologia pubblicazione</w:t>
            </w:r>
          </w:p>
        </w:tc>
        <w:tc>
          <w:tcPr>
            <w:tcW w:w="2835" w:type="dxa"/>
          </w:tcPr>
          <w:p w14:paraId="05211B96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massimo per ciascuna pubblicazione selezionata</w:t>
            </w:r>
          </w:p>
        </w:tc>
      </w:tr>
      <w:tr w:rsidR="0022366A" w:rsidRPr="00890263" w14:paraId="450B54F1" w14:textId="77777777" w:rsidTr="003144FF">
        <w:tc>
          <w:tcPr>
            <w:tcW w:w="5807" w:type="dxa"/>
          </w:tcPr>
          <w:p w14:paraId="4C2A2C8D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8FBF5A4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428076C0" w14:textId="77777777" w:rsidTr="003144FF">
        <w:tc>
          <w:tcPr>
            <w:tcW w:w="5807" w:type="dxa"/>
          </w:tcPr>
          <w:p w14:paraId="5EC67C83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A39B0E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5DAF8C2E" w14:textId="77777777" w:rsidTr="003144FF">
        <w:tc>
          <w:tcPr>
            <w:tcW w:w="5807" w:type="dxa"/>
          </w:tcPr>
          <w:p w14:paraId="55587798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DF0E5E0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70303548" w14:textId="77777777" w:rsidTr="003144FF">
        <w:tc>
          <w:tcPr>
            <w:tcW w:w="5807" w:type="dxa"/>
          </w:tcPr>
          <w:p w14:paraId="32A19754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374A74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76B00C36" w14:textId="77777777" w:rsidTr="003144FF">
        <w:tc>
          <w:tcPr>
            <w:tcW w:w="5807" w:type="dxa"/>
          </w:tcPr>
          <w:p w14:paraId="0478EFCA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E93C9C3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D173AB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bookmarkEnd w:id="1"/>
    <w:p w14:paraId="304F514C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890263">
        <w:rPr>
          <w:rFonts w:cstheme="minorHAnsi"/>
        </w:rPr>
        <w:t>Titoli (massimo 40 punti)</w:t>
      </w:r>
    </w:p>
    <w:p w14:paraId="6DEE92D8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07"/>
        <w:gridCol w:w="2321"/>
      </w:tblGrid>
      <w:tr w:rsidR="0022366A" w:rsidRPr="00890263" w14:paraId="42E597EC" w14:textId="77777777" w:rsidTr="003144FF">
        <w:tc>
          <w:tcPr>
            <w:tcW w:w="0" w:type="auto"/>
          </w:tcPr>
          <w:p w14:paraId="7484582F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</w:t>
            </w:r>
          </w:p>
        </w:tc>
        <w:tc>
          <w:tcPr>
            <w:tcW w:w="0" w:type="auto"/>
          </w:tcPr>
          <w:p w14:paraId="1437FCB0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massimo per ciascun titolo</w:t>
            </w:r>
          </w:p>
        </w:tc>
      </w:tr>
      <w:tr w:rsidR="0022366A" w:rsidRPr="00890263" w14:paraId="1BC2D479" w14:textId="77777777" w:rsidTr="003144FF">
        <w:tc>
          <w:tcPr>
            <w:tcW w:w="0" w:type="auto"/>
          </w:tcPr>
          <w:p w14:paraId="7D02041C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dottorato di ricerca o equipollenti, ovvero, per i settori interessati, il diploma di specializzazione medica o equivalente, conseguito in Italia o all'estero</w:t>
            </w:r>
          </w:p>
        </w:tc>
        <w:tc>
          <w:tcPr>
            <w:tcW w:w="0" w:type="auto"/>
          </w:tcPr>
          <w:p w14:paraId="51649C09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7F08FA5A" w14:textId="77777777" w:rsidTr="003144FF">
        <w:tc>
          <w:tcPr>
            <w:tcW w:w="0" w:type="auto"/>
          </w:tcPr>
          <w:p w14:paraId="1C5DD936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eventuale attività didattica a livello universitario in Italia o all'estero</w:t>
            </w:r>
          </w:p>
        </w:tc>
        <w:tc>
          <w:tcPr>
            <w:tcW w:w="0" w:type="auto"/>
          </w:tcPr>
          <w:p w14:paraId="5762A962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2B2DDBEB" w14:textId="77777777" w:rsidTr="003144FF">
        <w:tc>
          <w:tcPr>
            <w:tcW w:w="0" w:type="auto"/>
          </w:tcPr>
          <w:p w14:paraId="1679422A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documentata attività di formazione o di ricerca presso qualificati istituti italiani o stranieri</w:t>
            </w:r>
          </w:p>
        </w:tc>
        <w:tc>
          <w:tcPr>
            <w:tcW w:w="0" w:type="auto"/>
          </w:tcPr>
          <w:p w14:paraId="44EBF549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3AA75136" w14:textId="77777777" w:rsidTr="003144FF">
        <w:tc>
          <w:tcPr>
            <w:tcW w:w="0" w:type="auto"/>
          </w:tcPr>
          <w:p w14:paraId="195A9D84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documentata attività in campo clinico relativamente ai settori concorsuali nei quali sono richieste tali specifiche competenze</w:t>
            </w:r>
          </w:p>
        </w:tc>
        <w:tc>
          <w:tcPr>
            <w:tcW w:w="0" w:type="auto"/>
          </w:tcPr>
          <w:p w14:paraId="44598DF2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503C865D" w14:textId="77777777" w:rsidTr="003144FF">
        <w:tc>
          <w:tcPr>
            <w:tcW w:w="0" w:type="auto"/>
          </w:tcPr>
          <w:p w14:paraId="3FE3455B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realizzazione di attività progettuale relativamente ai settori concorsuali nei quali è prevista</w:t>
            </w:r>
          </w:p>
        </w:tc>
        <w:tc>
          <w:tcPr>
            <w:tcW w:w="0" w:type="auto"/>
          </w:tcPr>
          <w:p w14:paraId="0CE88B81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26ECC5AA" w14:textId="77777777" w:rsidTr="003144FF">
        <w:tc>
          <w:tcPr>
            <w:tcW w:w="0" w:type="auto"/>
          </w:tcPr>
          <w:p w14:paraId="3CFB87F6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organizzazione, direzione e coordinamento di gruppi di ricerca nazionali e internazionali, o partecipazione agli stessi</w:t>
            </w:r>
          </w:p>
        </w:tc>
        <w:tc>
          <w:tcPr>
            <w:tcW w:w="0" w:type="auto"/>
          </w:tcPr>
          <w:p w14:paraId="189BAA9B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13D82DBD" w14:textId="77777777" w:rsidTr="003144FF">
        <w:tc>
          <w:tcPr>
            <w:tcW w:w="0" w:type="auto"/>
          </w:tcPr>
          <w:p w14:paraId="6467DDED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titolarità di brevetti relativamente ai settori concorsuali nei quali è prevista</w:t>
            </w:r>
          </w:p>
        </w:tc>
        <w:tc>
          <w:tcPr>
            <w:tcW w:w="0" w:type="auto"/>
          </w:tcPr>
          <w:p w14:paraId="7FB9BEC3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2ADBAFFA" w14:textId="77777777" w:rsidTr="003144FF">
        <w:tc>
          <w:tcPr>
            <w:tcW w:w="0" w:type="auto"/>
          </w:tcPr>
          <w:p w14:paraId="675F588A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relatore a congressi e convegni nazionali e internazionali</w:t>
            </w:r>
          </w:p>
        </w:tc>
        <w:tc>
          <w:tcPr>
            <w:tcW w:w="0" w:type="auto"/>
          </w:tcPr>
          <w:p w14:paraId="4FD49EC4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4427BCA4" w14:textId="77777777" w:rsidTr="003144FF">
        <w:tc>
          <w:tcPr>
            <w:tcW w:w="0" w:type="auto"/>
          </w:tcPr>
          <w:p w14:paraId="48FADD71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premi e riconoscimenti nazionali e internazionali per attività di ricerca</w:t>
            </w:r>
          </w:p>
        </w:tc>
        <w:tc>
          <w:tcPr>
            <w:tcW w:w="0" w:type="auto"/>
          </w:tcPr>
          <w:p w14:paraId="5B0E06CD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66A" w:rsidRPr="00890263" w14:paraId="5987233A" w14:textId="77777777" w:rsidTr="003144FF">
        <w:tc>
          <w:tcPr>
            <w:tcW w:w="0" w:type="auto"/>
          </w:tcPr>
          <w:p w14:paraId="437CB512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263">
              <w:rPr>
                <w:rFonts w:asciiTheme="minorHAnsi" w:hAnsiTheme="minorHAnsi" w:cstheme="minorHAnsi"/>
                <w:sz w:val="22"/>
                <w:szCs w:val="22"/>
              </w:rPr>
              <w:t>diploma di specializzazione europea riconosciuto da Board internazionali, relativamente a quei settori concorsuali nei quali è prevista</w:t>
            </w:r>
          </w:p>
        </w:tc>
        <w:tc>
          <w:tcPr>
            <w:tcW w:w="0" w:type="auto"/>
          </w:tcPr>
          <w:p w14:paraId="223B570C" w14:textId="77777777" w:rsidR="0022366A" w:rsidRPr="00890263" w:rsidRDefault="0022366A" w:rsidP="003144F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5F46EE" w14:textId="77777777" w:rsidR="0022366A" w:rsidRPr="00890263" w:rsidRDefault="0022366A" w:rsidP="0022366A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p w14:paraId="5230F0A7" w14:textId="77777777" w:rsidR="0022366A" w:rsidRPr="00890263" w:rsidRDefault="0022366A" w:rsidP="0022366A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890263">
        <w:rPr>
          <w:rFonts w:cstheme="minorHAnsi"/>
        </w:rPr>
        <w:t>Letto, confermato e sottoscritto</w:t>
      </w:r>
    </w:p>
    <w:p w14:paraId="3A8D087E" w14:textId="27D4C6F7" w:rsidR="0022366A" w:rsidRPr="00890263" w:rsidRDefault="00BC77AB" w:rsidP="0022366A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22366A" w:rsidRPr="00890263">
        <w:rPr>
          <w:rFonts w:cstheme="minorHAnsi"/>
        </w:rPr>
        <w:t xml:space="preserve"> ……………………………………</w:t>
      </w:r>
    </w:p>
    <w:p w14:paraId="4F8B8ABC" w14:textId="77238A8A" w:rsidR="0022366A" w:rsidRPr="00890263" w:rsidRDefault="00BC77AB" w:rsidP="0022366A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22366A" w:rsidRPr="00890263">
        <w:rPr>
          <w:rFonts w:cstheme="minorHAnsi"/>
        </w:rPr>
        <w:t xml:space="preserve"> ……………………………………</w:t>
      </w:r>
    </w:p>
    <w:p w14:paraId="37563AA5" w14:textId="31BA1E99" w:rsidR="0022366A" w:rsidRPr="00890263" w:rsidRDefault="00BC77AB" w:rsidP="0022366A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22366A" w:rsidRPr="00890263">
        <w:rPr>
          <w:rFonts w:cstheme="minorHAnsi"/>
        </w:rPr>
        <w:t xml:space="preserve"> ……………………………………</w:t>
      </w:r>
    </w:p>
    <w:sectPr w:rsidR="0022366A" w:rsidRPr="00890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11AF3"/>
    <w:multiLevelType w:val="hybridMultilevel"/>
    <w:tmpl w:val="191800A4"/>
    <w:lvl w:ilvl="0" w:tplc="ED0A4C2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C3491"/>
    <w:multiLevelType w:val="hybridMultilevel"/>
    <w:tmpl w:val="A95CA8C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979C2"/>
    <w:multiLevelType w:val="hybridMultilevel"/>
    <w:tmpl w:val="A95CA8C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A218B4"/>
    <w:multiLevelType w:val="hybridMultilevel"/>
    <w:tmpl w:val="A95CA8C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7C0973"/>
    <w:multiLevelType w:val="hybridMultilevel"/>
    <w:tmpl w:val="A95CA8C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A81783"/>
    <w:multiLevelType w:val="hybridMultilevel"/>
    <w:tmpl w:val="FFFFFFFF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D0A4C28">
      <w:start w:val="1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6974FB"/>
    <w:multiLevelType w:val="hybridMultilevel"/>
    <w:tmpl w:val="A95CA8C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892584">
    <w:abstractNumId w:val="5"/>
  </w:num>
  <w:num w:numId="2" w16cid:durableId="565263072">
    <w:abstractNumId w:val="0"/>
  </w:num>
  <w:num w:numId="3" w16cid:durableId="1719619966">
    <w:abstractNumId w:val="2"/>
  </w:num>
  <w:num w:numId="4" w16cid:durableId="126358214">
    <w:abstractNumId w:val="6"/>
  </w:num>
  <w:num w:numId="5" w16cid:durableId="1702436168">
    <w:abstractNumId w:val="3"/>
  </w:num>
  <w:num w:numId="6" w16cid:durableId="2035229904">
    <w:abstractNumId w:val="1"/>
  </w:num>
  <w:num w:numId="7" w16cid:durableId="1949384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4C"/>
    <w:rsid w:val="0022366A"/>
    <w:rsid w:val="00351AEE"/>
    <w:rsid w:val="00852F72"/>
    <w:rsid w:val="00890263"/>
    <w:rsid w:val="00916D4C"/>
    <w:rsid w:val="00BC77AB"/>
    <w:rsid w:val="00C06B06"/>
    <w:rsid w:val="00C70E6A"/>
    <w:rsid w:val="00E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7BAA"/>
  <w15:chartTrackingRefBased/>
  <w15:docId w15:val="{8345E0A0-CDBC-4B06-853A-8A32E436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366A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2366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236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F805-23ED-400D-9DFD-9E4DA41F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7</cp:revision>
  <dcterms:created xsi:type="dcterms:W3CDTF">2023-07-02T18:40:00Z</dcterms:created>
  <dcterms:modified xsi:type="dcterms:W3CDTF">2024-12-19T22:01:00Z</dcterms:modified>
</cp:coreProperties>
</file>