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938"/>
        <w:gridCol w:w="1285"/>
        <w:gridCol w:w="3924"/>
      </w:tblGrid>
      <w:tr w:rsidR="0036665D" w:rsidRPr="0036665D" w:rsidTr="00207DCB">
        <w:tc>
          <w:tcPr>
            <w:tcW w:w="2547" w:type="dxa"/>
          </w:tcPr>
          <w:p w:rsidR="0036665D" w:rsidRPr="0036665D" w:rsidRDefault="0036665D" w:rsidP="007E7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6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Denominazione del </w:t>
            </w:r>
            <w:proofErr w:type="spellStart"/>
            <w:r w:rsidRPr="0036665D">
              <w:rPr>
                <w:rFonts w:asciiTheme="minorHAnsi" w:hAnsiTheme="minorHAnsi" w:cstheme="minorHAnsi"/>
                <w:b/>
                <w:sz w:val="22"/>
                <w:szCs w:val="22"/>
              </w:rPr>
              <w:t>CdS</w:t>
            </w:r>
            <w:proofErr w:type="spellEnd"/>
            <w:r w:rsidRPr="003666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36665D" w:rsidRPr="0036665D" w:rsidRDefault="0036665D" w:rsidP="007E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dxa"/>
          </w:tcPr>
          <w:p w:rsidR="0036665D" w:rsidRPr="00207DCB" w:rsidRDefault="0036665D" w:rsidP="007E7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Codice </w:t>
            </w:r>
            <w:proofErr w:type="spellStart"/>
            <w:r w:rsidRPr="00207DCB">
              <w:rPr>
                <w:rFonts w:asciiTheme="minorHAnsi" w:hAnsiTheme="minorHAnsi" w:cstheme="minorHAnsi"/>
                <w:b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3924" w:type="dxa"/>
          </w:tcPr>
          <w:p w:rsidR="0036665D" w:rsidRPr="0036665D" w:rsidRDefault="0036665D" w:rsidP="007E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7F8D" w:rsidRPr="005E3FAA" w:rsidRDefault="00287F8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7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567"/>
        <w:gridCol w:w="567"/>
        <w:gridCol w:w="8050"/>
      </w:tblGrid>
      <w:tr w:rsidR="00D107D6" w:rsidRPr="005E3FAA" w:rsidTr="00252A7C">
        <w:trPr>
          <w:cantSplit/>
          <w:tblHeader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bottom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0DFC" w:rsidRPr="005E3FAA" w:rsidRDefault="00522148" w:rsidP="00154F4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</w:t>
            </w:r>
            <w:r w:rsidR="00AA66E1"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0DFC" w:rsidRPr="005E3FAA" w:rsidRDefault="00522148" w:rsidP="00154F4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</w:t>
            </w:r>
            <w:r w:rsidR="00AA66E1"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8050" w:type="dxa"/>
            <w:shd w:val="clear" w:color="auto" w:fill="D9D9D9" w:themeFill="background1" w:themeFillShade="D9"/>
            <w:noWrap/>
            <w:vAlign w:val="bottom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Commenti</w:t>
            </w: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Aspetti formali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Permanenza delle indicazioni per la compilazione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9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Grado di completezza delle informazioni sui processi di elaborazione e approvazione della scheda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Adeguatezza numerica della Commissione Gestione AQ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Indicatori per la didattica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Adeguatezza motivazioni alla base della focalizzazione su alcuni indicatori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Ampiezza - anche eccessiva - delle analisi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Valutazione di adeguatezza e consequenzialità tra le analisi e le criticità emerse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Valutazione di rilevanza e connessione con i dati analizzati dei miglioramenti proposti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Assenza di miglioramenti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Indicatori per la l'internazionalizzazione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Adeguatezza motivazioni alla base della focalizzazione su alcuni indicatori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Ampiezza - anche eccessiva - delle analisi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Valutazione di adeguatezza e consequenzialità tra le analisi e le criticità </w:t>
            </w: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lastRenderedPageBreak/>
              <w:t>emerse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50A89" w:rsidRPr="005E3FAA" w:rsidRDefault="00150A89" w:rsidP="00150A8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50A89" w:rsidRPr="005E3FAA" w:rsidRDefault="00150A89" w:rsidP="00150A8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Valutazione di rilevanza e connessione con i dati analizzati dei miglioramenti proposti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Assenza di miglioramenti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Ulteriori indicatori per la valutazione della didattica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Adeguatezza motivazioni alla base della focalizzazione su alcuni indicatori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Ampiezza - anche eccessiva - delle analisi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Valutazione di adeguatezza e consequenzialità tra le analisi e le criticità emerse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6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Valutazione di rilevanza e connessione con i dati analizzati dei miglioramenti proposti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07D6" w:rsidRPr="005E3FAA" w:rsidTr="00252A7C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Assenza di miglioramenti</w:t>
            </w: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  <w:noWrap/>
            <w:vAlign w:val="bottom"/>
          </w:tcPr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80DFC" w:rsidRPr="005E3FAA" w:rsidRDefault="00780DF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52A7C" w:rsidRPr="005E3FAA" w:rsidTr="00252A7C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13153" w:type="dxa"/>
            <w:gridSpan w:val="4"/>
          </w:tcPr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52A7C" w:rsidRPr="005E3FAA" w:rsidRDefault="00252A7C" w:rsidP="00154F4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97D1B" w:rsidRPr="005E3FAA" w:rsidRDefault="00C97D1B">
      <w:pPr>
        <w:rPr>
          <w:rFonts w:asciiTheme="minorHAnsi" w:hAnsiTheme="minorHAnsi" w:cstheme="minorHAnsi"/>
          <w:sz w:val="22"/>
          <w:szCs w:val="22"/>
        </w:rPr>
      </w:pPr>
    </w:p>
    <w:p w:rsidR="00D30EC0" w:rsidRPr="005E3FAA" w:rsidRDefault="00D30EC0">
      <w:pPr>
        <w:rPr>
          <w:rFonts w:asciiTheme="minorHAnsi" w:hAnsiTheme="minorHAnsi" w:cstheme="minorHAnsi"/>
          <w:sz w:val="22"/>
          <w:szCs w:val="22"/>
        </w:rPr>
        <w:sectPr w:rsidR="00D30EC0" w:rsidRPr="005E3FAA" w:rsidSect="005E3F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30EC0" w:rsidRPr="005E3FAA" w:rsidRDefault="00D30E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30"/>
        <w:gridCol w:w="960"/>
        <w:gridCol w:w="960"/>
      </w:tblGrid>
      <w:tr w:rsidR="007A5C86" w:rsidRPr="005E3FAA" w:rsidTr="007A5C86">
        <w:trPr>
          <w:trHeight w:val="300"/>
          <w:tblHeader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C86" w:rsidRPr="005E3FAA" w:rsidRDefault="007A5C86" w:rsidP="007A5C8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Indicatori valutati</w:t>
            </w:r>
          </w:p>
        </w:tc>
      </w:tr>
      <w:tr w:rsidR="007A5C86" w:rsidRPr="005E3FAA" w:rsidTr="00306764">
        <w:trPr>
          <w:trHeight w:val="300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Codi</w:t>
            </w:r>
            <w:r w:rsidR="0047589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</w:t>
            </w: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Contenuto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47589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47589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5E3F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</w:t>
            </w:r>
            <w:proofErr w:type="gramEnd"/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iC00a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Avvii di carriera al primo anno* (L, LMCU, LM)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iC00c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Se LM, Iscritti per la prima volta a 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iC00b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Immatricolati puri ** (L, LMCU)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iC00d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Iscritti (L, LMCU, LM)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iC00e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Iscritti Regolari ai fini del CSTD (L, LMCU, LM)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iC00f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Iscritti Regolari ai fini del CSTD, immatricolati puri ** al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oggetto (L, LMCU, LM)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studenti iscritti entro la durata normale del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che abbiano acquisito almeno 40 CFU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nell’a.s.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(L, LM, LMCU) entro la durata normale del corso*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iscritti</w:t>
            </w:r>
            <w:proofErr w:type="gram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al primo anno (LM) laureati in altro Ateneo*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b)*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(L) - Laureati che dichiarano di svolgere un’attività lavorativa o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iC06BIS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iC06TER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(L) – Laureati non impegnati in formazione non retribuita che dichiarano di svolgere un’attività lavorativa e regolamentata da un contratto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tre anni dal Titolo (LM, LMCU) - Laureati che dichiarano di svolgere un’attività lavorativa o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iC07BIS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tre anni dal Titolo (LM,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iC07TER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tre anni dal Titolo (LM, LMCU) - Laureati non impegnati in formazione non retribuita che dichiarano di svolgere un’attività lavorativa e regolamentata da un contratto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dei docenti di ruolo che appartengono a settori scientifico-disciplinari (SSD) di base e caratterizzanti per corso di studio (L, LMCU, LM), di cui sono docenti di riferimento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iC09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Valori dell’indicatore di Qualità della ricerca dei docenti per le lauree magistrali (QRDLM) (valore di riferimento: 0,8)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CFU conseguiti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allestero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dagli studenti regolari sul totale dei CFU conseguiti dagli studenti entro la durata normale del corso*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(L, LM, LMCU) entro la durata normale del corso che hanno acquisito almeno 12 CFU all’estero*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iscritti al primo anno del corso di laurea (L) e laurea magistrale (LM, LMCU) che hanno conseguito il precedente titolo di studio all’estero*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iC13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CFU conseguiti al I anno su CFU da conseguire**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nel II anno nello stesso corso di studio**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al II anno nello stesso corso di studio avendo acquisito almeno 20 CFU al I anno**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iC15BIS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al II anno nello stesso corso di studio avendo acquisito almeno 1/3 dei CFU previsti al I anno 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al II anno nello stesso corso di studio avendo acquisito almeno 40 CFU al I anno**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iC16BIS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al II anno nello stesso corso di studio avendo acquisito almeno 2/3 dei CFU previsti al I anno 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immatricolati (L, LM, LMCU) che si laureano entro un anno oltre la durata normale del corso nello stesso corso di studio**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che si iscriverebbero di nuovo allo stesso corso di studio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iC19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ore</w:t>
            </w:r>
            <w:proofErr w:type="gram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 docenza erogata da docenti assunti a tempo indeterminato sul totale delle ore di docenza erogata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studenti che proseguono la carriera nel sistema universitario al II anno**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immatricolati (L, LM, LMCU) che si laureano, nel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, entro la durata normale del corso**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immatricolati (L, LM, LMCU) che proseguono la carriera al secondo anno in un differente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dellAteneo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abbandoni del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dopo N+1 anni**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Percentuale di laureandi complessivamente soddisfatti del </w:t>
            </w:r>
            <w:proofErr w:type="spellStart"/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(LM, LMCU) - Laureati che dichiarano di svolgere un’attività lavorativa o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iC26BIS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(LM,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iC26TER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Percentuale di Laureati occupati a un anno dal Titolo (LM, LMCU) - Laureati non impegnati in formazione non retribuita che dichiarano di svolgere un’attività lavorativa e regolamentata da un contratto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Rapporto studenti iscritti/docenti complessivo (pesato per le ore di docenza)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A5C86" w:rsidRPr="005E3FAA" w:rsidTr="0030676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iC28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3FAA">
              <w:rPr>
                <w:rFonts w:asciiTheme="minorHAnsi" w:eastAsia="Times New Roman" w:hAnsiTheme="minorHAnsi" w:cstheme="minorHAnsi"/>
                <w:sz w:val="22"/>
                <w:szCs w:val="22"/>
              </w:rPr>
              <w:t>Rapporto studenti iscritti al primo anno/docenti degli insegnamenti del primo anno (pesato per le ore di docenza)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86" w:rsidRPr="005E3FAA" w:rsidRDefault="007A5C86" w:rsidP="007A5C86">
            <w:pPr>
              <w:widowControl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30EC0" w:rsidRPr="005E3FAA" w:rsidRDefault="00D30EC0">
      <w:pPr>
        <w:rPr>
          <w:rFonts w:asciiTheme="minorHAnsi" w:hAnsiTheme="minorHAnsi" w:cstheme="minorHAnsi"/>
          <w:sz w:val="22"/>
          <w:szCs w:val="22"/>
        </w:rPr>
      </w:pPr>
    </w:p>
    <w:p w:rsidR="00762A12" w:rsidRPr="005E3FAA" w:rsidRDefault="00762A12">
      <w:pPr>
        <w:rPr>
          <w:rFonts w:asciiTheme="minorHAnsi" w:hAnsiTheme="minorHAnsi" w:cstheme="minorHAnsi"/>
          <w:sz w:val="22"/>
          <w:szCs w:val="22"/>
        </w:rPr>
        <w:sectPr w:rsidR="00762A12" w:rsidRPr="005E3FAA" w:rsidSect="00D30EC0">
          <w:headerReference w:type="default" r:id="rId13"/>
          <w:footerReference w:type="defaul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F0BA3" w:rsidRPr="005E3FAA" w:rsidRDefault="00EF0B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4797"/>
      </w:tblGrid>
      <w:tr w:rsidR="00762A12" w:rsidRPr="005E3FAA" w:rsidTr="00271416">
        <w:trPr>
          <w:trHeight w:val="1085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ind w:left="-67" w:firstLine="67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Azioni di </w:t>
            </w:r>
            <w:r w:rsidR="00543E40" w:rsidRPr="002714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2714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miglioramento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Coerenza tra valore dell'indicatore e problema individuato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Conseguenzialità e realizzabilità dell'azione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Chiarezza ed effettività nella identificazione delle responsabilità di realizzazione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Coerenza delle risorse necessarie rispetto all'ampiezza dell'obiettivo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Ragionevolezza dei tempi di realizzazione</w:t>
            </w:r>
          </w:p>
        </w:tc>
        <w:tc>
          <w:tcPr>
            <w:tcW w:w="4797" w:type="dxa"/>
            <w:shd w:val="clear" w:color="auto" w:fill="auto"/>
            <w:noWrap/>
            <w:vAlign w:val="center"/>
            <w:hideMark/>
          </w:tcPr>
          <w:p w:rsidR="00762A12" w:rsidRPr="00271416" w:rsidRDefault="00762A12" w:rsidP="00543E4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CD699A" w:rsidRPr="005E3FAA" w:rsidTr="00271416">
        <w:trPr>
          <w:trHeight w:val="300"/>
        </w:trPr>
        <w:tc>
          <w:tcPr>
            <w:tcW w:w="2438" w:type="dxa"/>
            <w:shd w:val="clear" w:color="auto" w:fill="auto"/>
            <w:noWrap/>
            <w:vAlign w:val="bottom"/>
          </w:tcPr>
          <w:p w:rsidR="00CD699A" w:rsidRPr="00271416" w:rsidRDefault="00CD699A" w:rsidP="00CD699A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99A" w:rsidRPr="00271416" w:rsidRDefault="00CD699A" w:rsidP="00CD699A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27141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4797" w:type="dxa"/>
            <w:shd w:val="clear" w:color="auto" w:fill="auto"/>
            <w:noWrap/>
            <w:vAlign w:val="bottom"/>
          </w:tcPr>
          <w:p w:rsidR="00CD699A" w:rsidRPr="00271416" w:rsidRDefault="00CD699A" w:rsidP="00CD699A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12D0C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>Azione n. 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12D0C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>Azione n.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12D0C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>Azione n.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  <w:hideMark/>
          </w:tcPr>
          <w:p w:rsidR="00112D0C" w:rsidRPr="00271416" w:rsidRDefault="00112D0C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71416" w:rsidRPr="005E3FAA" w:rsidTr="00F8527D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:rsidR="00271416" w:rsidRPr="00271416" w:rsidRDefault="00F8527D" w:rsidP="00F8527D">
            <w:pPr>
              <w:widowControl/>
              <w:ind w:left="-67" w:firstLine="6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1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Azione n.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noWrap/>
            <w:vAlign w:val="center"/>
          </w:tcPr>
          <w:p w:rsidR="00271416" w:rsidRPr="00271416" w:rsidRDefault="00271416" w:rsidP="00F8527D">
            <w:pPr>
              <w:widowControl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762A12" w:rsidRPr="005E3FAA" w:rsidRDefault="00762A12">
      <w:pPr>
        <w:rPr>
          <w:rFonts w:asciiTheme="minorHAnsi" w:hAnsiTheme="minorHAnsi" w:cstheme="minorHAnsi"/>
          <w:sz w:val="22"/>
          <w:szCs w:val="22"/>
        </w:rPr>
      </w:pPr>
    </w:p>
    <w:sectPr w:rsidR="00762A12" w:rsidRPr="005E3FAA" w:rsidSect="005B0C1B">
      <w:headerReference w:type="default" r:id="rId15"/>
      <w:footerReference w:type="default" r:id="rId16"/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EF" w:rsidRDefault="00E22EEF" w:rsidP="00522148">
      <w:r>
        <w:separator/>
      </w:r>
    </w:p>
  </w:endnote>
  <w:endnote w:type="continuationSeparator" w:id="0">
    <w:p w:rsidR="00E22EEF" w:rsidRDefault="00E22EEF" w:rsidP="005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9C" w:rsidRDefault="00B222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AA" w:rsidRDefault="005E3FAA" w:rsidP="00150A89">
    <w:pPr>
      <w:pStyle w:val="Pidipagina"/>
      <w:tabs>
        <w:tab w:val="clear" w:pos="4819"/>
        <w:tab w:val="clear" w:pos="9638"/>
        <w:tab w:val="center" w:pos="7655"/>
        <w:tab w:val="right" w:pos="15704"/>
      </w:tabs>
      <w:rPr>
        <w:rFonts w:asciiTheme="minorHAnsi" w:hAnsiTheme="minorHAnsi" w:cstheme="minorHAnsi"/>
        <w:sz w:val="18"/>
        <w:szCs w:val="18"/>
      </w:rPr>
    </w:pPr>
  </w:p>
  <w:p w:rsidR="004472C7" w:rsidRPr="004472C7" w:rsidRDefault="004472C7" w:rsidP="00150A89">
    <w:pPr>
      <w:pStyle w:val="Pidipagina"/>
      <w:tabs>
        <w:tab w:val="clear" w:pos="4819"/>
        <w:tab w:val="clear" w:pos="9638"/>
        <w:tab w:val="center" w:pos="7655"/>
        <w:tab w:val="right" w:pos="15704"/>
      </w:tabs>
      <w:rPr>
        <w:rFonts w:asciiTheme="minorHAnsi" w:hAnsiTheme="minorHAnsi" w:cstheme="minorHAnsi"/>
        <w:sz w:val="18"/>
        <w:szCs w:val="18"/>
      </w:rPr>
    </w:pPr>
    <w:r w:rsidRPr="004472C7">
      <w:rPr>
        <w:rFonts w:asciiTheme="minorHAnsi" w:hAnsiTheme="minorHAnsi" w:cstheme="minorHAnsi"/>
        <w:sz w:val="18"/>
        <w:szCs w:val="18"/>
      </w:rPr>
      <w:t xml:space="preserve">SMA-2018-Griglia Valutazione Scheda di Monitoraggio Annuale </w:t>
    </w:r>
    <w:proofErr w:type="spellStart"/>
    <w:r w:rsidRPr="004472C7">
      <w:rPr>
        <w:rFonts w:asciiTheme="minorHAnsi" w:hAnsiTheme="minorHAnsi" w:cstheme="minorHAnsi"/>
        <w:sz w:val="18"/>
        <w:szCs w:val="18"/>
      </w:rPr>
      <w:t>CdS</w:t>
    </w:r>
    <w:proofErr w:type="spellEnd"/>
    <w:r>
      <w:rPr>
        <w:rFonts w:asciiTheme="minorHAnsi" w:hAnsiTheme="minorHAnsi" w:cstheme="minorHAnsi"/>
        <w:sz w:val="18"/>
        <w:szCs w:val="18"/>
      </w:rPr>
      <w:tab/>
      <w:t>rev.</w:t>
    </w:r>
    <w:r w:rsidR="002D2130">
      <w:rPr>
        <w:rFonts w:asciiTheme="minorHAnsi" w:hAnsiTheme="minorHAnsi" w:cstheme="minorHAnsi"/>
        <w:sz w:val="18"/>
        <w:szCs w:val="18"/>
      </w:rPr>
      <w:t xml:space="preserve"> 1.0 del </w:t>
    </w:r>
    <w:r w:rsidR="00B2229C">
      <w:rPr>
        <w:rFonts w:asciiTheme="minorHAnsi" w:hAnsiTheme="minorHAnsi" w:cstheme="minorHAnsi"/>
        <w:sz w:val="18"/>
        <w:szCs w:val="18"/>
      </w:rPr>
      <w:t>07</w:t>
    </w:r>
    <w:r w:rsidR="002D2130">
      <w:rPr>
        <w:rFonts w:asciiTheme="minorHAnsi" w:hAnsiTheme="minorHAnsi" w:cstheme="minorHAnsi"/>
        <w:sz w:val="18"/>
        <w:szCs w:val="18"/>
      </w:rPr>
      <w:t>/11/2018</w:t>
    </w:r>
    <w:r w:rsidR="002D2130">
      <w:rPr>
        <w:rFonts w:asciiTheme="minorHAnsi" w:hAnsiTheme="minorHAnsi" w:cstheme="minorHAnsi"/>
        <w:sz w:val="18"/>
        <w:szCs w:val="18"/>
      </w:rPr>
      <w:tab/>
    </w:r>
    <w:r w:rsidR="002D2130" w:rsidRPr="002D2130">
      <w:rPr>
        <w:rFonts w:asciiTheme="minorHAnsi" w:hAnsiTheme="minorHAnsi" w:cstheme="minorHAnsi"/>
        <w:sz w:val="18"/>
        <w:szCs w:val="18"/>
      </w:rPr>
      <w:fldChar w:fldCharType="begin"/>
    </w:r>
    <w:r w:rsidR="002D2130" w:rsidRPr="002D2130">
      <w:rPr>
        <w:rFonts w:asciiTheme="minorHAnsi" w:hAnsiTheme="minorHAnsi" w:cstheme="minorHAnsi"/>
        <w:sz w:val="18"/>
        <w:szCs w:val="18"/>
      </w:rPr>
      <w:instrText>PAGE   \* MERGEFORMAT</w:instrText>
    </w:r>
    <w:r w:rsidR="002D2130" w:rsidRPr="002D2130">
      <w:rPr>
        <w:rFonts w:asciiTheme="minorHAnsi" w:hAnsiTheme="minorHAnsi" w:cstheme="minorHAnsi"/>
        <w:sz w:val="18"/>
        <w:szCs w:val="18"/>
      </w:rPr>
      <w:fldChar w:fldCharType="separate"/>
    </w:r>
    <w:r w:rsidR="002D2130" w:rsidRPr="002D2130">
      <w:rPr>
        <w:rFonts w:asciiTheme="minorHAnsi" w:hAnsiTheme="minorHAnsi" w:cstheme="minorHAnsi"/>
        <w:sz w:val="18"/>
        <w:szCs w:val="18"/>
      </w:rPr>
      <w:t>1</w:t>
    </w:r>
    <w:r w:rsidR="002D2130" w:rsidRPr="002D213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9C" w:rsidRDefault="00B2229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DC9" w:rsidRPr="004472C7" w:rsidRDefault="00551DC9" w:rsidP="00551DC9">
    <w:pPr>
      <w:pStyle w:val="Pidipagina"/>
      <w:tabs>
        <w:tab w:val="clear" w:pos="4819"/>
        <w:tab w:val="center" w:pos="6521"/>
        <w:tab w:val="right" w:pos="14287"/>
        <w:tab w:val="center" w:pos="15704"/>
      </w:tabs>
      <w:rPr>
        <w:rFonts w:asciiTheme="minorHAnsi" w:hAnsiTheme="minorHAnsi" w:cstheme="minorHAnsi"/>
        <w:sz w:val="18"/>
        <w:szCs w:val="18"/>
      </w:rPr>
    </w:pPr>
    <w:r w:rsidRPr="004472C7">
      <w:rPr>
        <w:rFonts w:asciiTheme="minorHAnsi" w:hAnsiTheme="minorHAnsi" w:cstheme="minorHAnsi"/>
        <w:sz w:val="18"/>
        <w:szCs w:val="18"/>
      </w:rPr>
      <w:t xml:space="preserve">SMA-2018-Griglia Valutazione Scheda di Monitoraggio Annuale </w:t>
    </w:r>
    <w:proofErr w:type="spellStart"/>
    <w:r w:rsidRPr="004472C7">
      <w:rPr>
        <w:rFonts w:asciiTheme="minorHAnsi" w:hAnsiTheme="minorHAnsi" w:cstheme="minorHAnsi"/>
        <w:sz w:val="18"/>
        <w:szCs w:val="18"/>
      </w:rPr>
      <w:t>CdS</w:t>
    </w:r>
    <w:proofErr w:type="spellEnd"/>
    <w:r>
      <w:rPr>
        <w:rFonts w:asciiTheme="minorHAnsi" w:hAnsiTheme="minorHAnsi" w:cstheme="minorHAnsi"/>
        <w:sz w:val="18"/>
        <w:szCs w:val="18"/>
      </w:rPr>
      <w:tab/>
      <w:t xml:space="preserve">rev. 1.0 del </w:t>
    </w:r>
    <w:r w:rsidR="00B2229C">
      <w:rPr>
        <w:rFonts w:asciiTheme="minorHAnsi" w:hAnsiTheme="minorHAnsi" w:cstheme="minorHAnsi"/>
        <w:sz w:val="18"/>
        <w:szCs w:val="18"/>
      </w:rPr>
      <w:t>07</w:t>
    </w:r>
    <w:r>
      <w:rPr>
        <w:rFonts w:asciiTheme="minorHAnsi" w:hAnsiTheme="minorHAnsi" w:cstheme="minorHAnsi"/>
        <w:sz w:val="18"/>
        <w:szCs w:val="18"/>
      </w:rPr>
      <w:t>/11/2018</w:t>
    </w:r>
    <w:r>
      <w:rPr>
        <w:rFonts w:asciiTheme="minorHAnsi" w:hAnsiTheme="minorHAnsi" w:cstheme="minorHAnsi"/>
        <w:sz w:val="18"/>
        <w:szCs w:val="18"/>
      </w:rPr>
      <w:tab/>
    </w:r>
    <w:r w:rsidRPr="002D2130">
      <w:rPr>
        <w:rFonts w:asciiTheme="minorHAnsi" w:hAnsiTheme="minorHAnsi" w:cstheme="minorHAnsi"/>
        <w:sz w:val="18"/>
        <w:szCs w:val="18"/>
      </w:rPr>
      <w:fldChar w:fldCharType="begin"/>
    </w:r>
    <w:r w:rsidRPr="002D2130">
      <w:rPr>
        <w:rFonts w:asciiTheme="minorHAnsi" w:hAnsiTheme="minorHAnsi" w:cstheme="minorHAnsi"/>
        <w:sz w:val="18"/>
        <w:szCs w:val="18"/>
      </w:rPr>
      <w:instrText>PAGE   \* MERGEFORMAT</w:instrText>
    </w:r>
    <w:r w:rsidRPr="002D2130">
      <w:rPr>
        <w:rFonts w:asciiTheme="minorHAnsi" w:hAnsiTheme="minorHAnsi" w:cstheme="minorHAnsi"/>
        <w:sz w:val="18"/>
        <w:szCs w:val="18"/>
      </w:rPr>
      <w:fldChar w:fldCharType="separate"/>
    </w:r>
    <w:r w:rsidRPr="002D2130">
      <w:rPr>
        <w:rFonts w:asciiTheme="minorHAnsi" w:hAnsiTheme="minorHAnsi" w:cstheme="minorHAnsi"/>
        <w:sz w:val="18"/>
        <w:szCs w:val="18"/>
      </w:rPr>
      <w:t>1</w:t>
    </w:r>
    <w:r w:rsidRPr="002D213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1B" w:rsidRPr="004472C7" w:rsidRDefault="00237A57" w:rsidP="003519B2">
    <w:pPr>
      <w:pStyle w:val="Pidipagina"/>
      <w:tabs>
        <w:tab w:val="clear" w:pos="4819"/>
        <w:tab w:val="clear" w:pos="9638"/>
        <w:tab w:val="center" w:pos="7655"/>
        <w:tab w:val="right" w:pos="15704"/>
      </w:tabs>
      <w:rPr>
        <w:rFonts w:asciiTheme="minorHAnsi" w:hAnsiTheme="minorHAnsi" w:cstheme="minorHAnsi"/>
        <w:sz w:val="18"/>
        <w:szCs w:val="18"/>
      </w:rPr>
    </w:pPr>
    <w:r w:rsidRPr="004472C7">
      <w:rPr>
        <w:rFonts w:asciiTheme="minorHAnsi" w:hAnsiTheme="minorHAnsi" w:cstheme="minorHAnsi"/>
        <w:sz w:val="18"/>
        <w:szCs w:val="18"/>
      </w:rPr>
      <w:t xml:space="preserve">SMA-2018-Griglia Valutazione Scheda di Monitoraggio Annuale </w:t>
    </w:r>
    <w:proofErr w:type="spellStart"/>
    <w:r w:rsidRPr="004472C7">
      <w:rPr>
        <w:rFonts w:asciiTheme="minorHAnsi" w:hAnsiTheme="minorHAnsi" w:cstheme="minorHAnsi"/>
        <w:sz w:val="18"/>
        <w:szCs w:val="18"/>
      </w:rPr>
      <w:t>CdS</w:t>
    </w:r>
    <w:proofErr w:type="spellEnd"/>
    <w:r>
      <w:rPr>
        <w:rFonts w:asciiTheme="minorHAnsi" w:hAnsiTheme="minorHAnsi" w:cstheme="minorHAnsi"/>
        <w:sz w:val="18"/>
        <w:szCs w:val="18"/>
      </w:rPr>
      <w:tab/>
      <w:t xml:space="preserve">rev. </w:t>
    </w:r>
    <w:r>
      <w:rPr>
        <w:rFonts w:asciiTheme="minorHAnsi" w:hAnsiTheme="minorHAnsi" w:cstheme="minorHAnsi"/>
        <w:sz w:val="18"/>
        <w:szCs w:val="18"/>
      </w:rPr>
      <w:t xml:space="preserve">1.0 del </w:t>
    </w:r>
    <w:r w:rsidR="00B2229C">
      <w:rPr>
        <w:rFonts w:asciiTheme="minorHAnsi" w:hAnsiTheme="minorHAnsi" w:cstheme="minorHAnsi"/>
        <w:sz w:val="18"/>
        <w:szCs w:val="18"/>
      </w:rPr>
      <w:t>07</w:t>
    </w:r>
    <w:bookmarkStart w:id="0" w:name="_GoBack"/>
    <w:bookmarkEnd w:id="0"/>
    <w:r>
      <w:rPr>
        <w:rFonts w:asciiTheme="minorHAnsi" w:hAnsiTheme="minorHAnsi" w:cstheme="minorHAnsi"/>
        <w:sz w:val="18"/>
        <w:szCs w:val="18"/>
      </w:rPr>
      <w:t>/11/2018</w:t>
    </w:r>
    <w:r>
      <w:rPr>
        <w:rFonts w:asciiTheme="minorHAnsi" w:hAnsiTheme="minorHAnsi" w:cstheme="minorHAnsi"/>
        <w:sz w:val="18"/>
        <w:szCs w:val="18"/>
      </w:rPr>
      <w:tab/>
    </w:r>
    <w:r w:rsidRPr="002D2130">
      <w:rPr>
        <w:rFonts w:asciiTheme="minorHAnsi" w:hAnsiTheme="minorHAnsi" w:cstheme="minorHAnsi"/>
        <w:sz w:val="18"/>
        <w:szCs w:val="18"/>
      </w:rPr>
      <w:fldChar w:fldCharType="begin"/>
    </w:r>
    <w:r w:rsidRPr="002D2130">
      <w:rPr>
        <w:rFonts w:asciiTheme="minorHAnsi" w:hAnsiTheme="minorHAnsi" w:cstheme="minorHAnsi"/>
        <w:sz w:val="18"/>
        <w:szCs w:val="18"/>
      </w:rPr>
      <w:instrText>PAGE   \* MERGEFORMAT</w:instrText>
    </w:r>
    <w:r w:rsidRPr="002D2130">
      <w:rPr>
        <w:rFonts w:asciiTheme="minorHAnsi" w:hAnsiTheme="minorHAnsi" w:cstheme="minorHAnsi"/>
        <w:sz w:val="18"/>
        <w:szCs w:val="18"/>
      </w:rPr>
      <w:fldChar w:fldCharType="separate"/>
    </w:r>
    <w:r w:rsidRPr="002D2130">
      <w:rPr>
        <w:rFonts w:asciiTheme="minorHAnsi" w:hAnsiTheme="minorHAnsi" w:cstheme="minorHAnsi"/>
        <w:sz w:val="18"/>
        <w:szCs w:val="18"/>
      </w:rPr>
      <w:t>1</w:t>
    </w:r>
    <w:r w:rsidRPr="002D213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EF" w:rsidRDefault="00E22EEF" w:rsidP="00522148">
      <w:r>
        <w:separator/>
      </w:r>
    </w:p>
  </w:footnote>
  <w:footnote w:type="continuationSeparator" w:id="0">
    <w:p w:rsidR="00E22EEF" w:rsidRDefault="00E22EEF" w:rsidP="0052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9C" w:rsidRDefault="00B222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63" w:rsidRPr="00287F8D" w:rsidRDefault="00252A7C" w:rsidP="0023561F">
    <w:pPr>
      <w:tabs>
        <w:tab w:val="center" w:pos="7938"/>
      </w:tabs>
      <w:rPr>
        <w:sz w:val="22"/>
        <w:szCs w:val="20"/>
      </w:rPr>
    </w:pPr>
    <w:r>
      <w:rPr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21F4F735" wp14:editId="4DBC7515">
          <wp:simplePos x="0" y="0"/>
          <wp:positionH relativeFrom="column">
            <wp:posOffset>69850</wp:posOffset>
          </wp:positionH>
          <wp:positionV relativeFrom="paragraph">
            <wp:posOffset>-256540</wp:posOffset>
          </wp:positionV>
          <wp:extent cx="874800" cy="421200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S-Team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61F">
      <w:rPr>
        <w:sz w:val="22"/>
        <w:szCs w:val="20"/>
      </w:rPr>
      <w:tab/>
    </w:r>
    <w:r w:rsidR="0023561F" w:rsidRPr="005E3FAA">
      <w:rPr>
        <w:rFonts w:asciiTheme="minorHAnsi" w:hAnsiTheme="minorHAnsi" w:cstheme="minorHAnsi"/>
        <w:b/>
        <w:sz w:val="22"/>
        <w:szCs w:val="22"/>
      </w:rPr>
      <w:t>VALUTAZIONE D</w:t>
    </w:r>
    <w:r w:rsidR="00062E3A">
      <w:rPr>
        <w:rFonts w:asciiTheme="minorHAnsi" w:hAnsiTheme="minorHAnsi" w:cstheme="minorHAnsi"/>
        <w:b/>
        <w:sz w:val="22"/>
        <w:szCs w:val="22"/>
      </w:rPr>
      <w:t>ELLA SCHEDA DI MONITORAGGIO ANNUALE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9C" w:rsidRDefault="00B2229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F8" w:rsidRPr="00287F8D" w:rsidRDefault="009508F8" w:rsidP="008F4F3C">
    <w:pPr>
      <w:tabs>
        <w:tab w:val="center" w:pos="5103"/>
      </w:tabs>
      <w:rPr>
        <w:sz w:val="22"/>
        <w:szCs w:val="20"/>
      </w:rPr>
    </w:pPr>
    <w:r>
      <w:rPr>
        <w:noProof/>
        <w:color w:val="5B9BD5" w:themeColor="accent1"/>
      </w:rPr>
      <w:drawing>
        <wp:anchor distT="0" distB="0" distL="114300" distR="114300" simplePos="0" relativeHeight="251661312" behindDoc="0" locked="0" layoutInCell="1" allowOverlap="1" wp14:anchorId="237500DC" wp14:editId="5AAEB895">
          <wp:simplePos x="0" y="0"/>
          <wp:positionH relativeFrom="column">
            <wp:posOffset>69850</wp:posOffset>
          </wp:positionH>
          <wp:positionV relativeFrom="paragraph">
            <wp:posOffset>-256540</wp:posOffset>
          </wp:positionV>
          <wp:extent cx="874800" cy="421200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S-Team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0"/>
      </w:rPr>
      <w:tab/>
    </w:r>
    <w:r w:rsidR="008F4F3C">
      <w:rPr>
        <w:rFonts w:asciiTheme="minorHAnsi" w:hAnsiTheme="minorHAnsi" w:cstheme="minorHAnsi"/>
        <w:b/>
        <w:sz w:val="22"/>
        <w:szCs w:val="22"/>
      </w:rPr>
      <w:t>INDICATORI PRESI IN CONSIDERAZIONE NELLA SMA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3C" w:rsidRPr="00677D90" w:rsidRDefault="008F4F3C" w:rsidP="00677D90">
    <w:pPr>
      <w:tabs>
        <w:tab w:val="center" w:pos="7797"/>
      </w:tabs>
      <w:rPr>
        <w:b/>
        <w:sz w:val="22"/>
        <w:szCs w:val="20"/>
      </w:rPr>
    </w:pPr>
    <w:r>
      <w:rPr>
        <w:noProof/>
        <w:color w:val="5B9BD5" w:themeColor="accent1"/>
      </w:rPr>
      <w:drawing>
        <wp:anchor distT="0" distB="0" distL="114300" distR="114300" simplePos="0" relativeHeight="251663360" behindDoc="0" locked="0" layoutInCell="1" allowOverlap="1" wp14:anchorId="47E647AD" wp14:editId="685898E1">
          <wp:simplePos x="0" y="0"/>
          <wp:positionH relativeFrom="column">
            <wp:posOffset>69850</wp:posOffset>
          </wp:positionH>
          <wp:positionV relativeFrom="paragraph">
            <wp:posOffset>-256540</wp:posOffset>
          </wp:positionV>
          <wp:extent cx="874800" cy="42120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S-Team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0"/>
      </w:rPr>
      <w:tab/>
    </w:r>
    <w:r w:rsidR="00677D90" w:rsidRPr="00677D90">
      <w:rPr>
        <w:b/>
        <w:sz w:val="22"/>
        <w:szCs w:val="20"/>
      </w:rPr>
      <w:t>VALUTAZIONE DELLE AZIONI DI MIGLIORAMENTO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8D"/>
    <w:rsid w:val="00062E3A"/>
    <w:rsid w:val="000C39FD"/>
    <w:rsid w:val="000F3E3D"/>
    <w:rsid w:val="00111D06"/>
    <w:rsid w:val="00112D0C"/>
    <w:rsid w:val="00150A89"/>
    <w:rsid w:val="00207DCB"/>
    <w:rsid w:val="0023561F"/>
    <w:rsid w:val="00237A57"/>
    <w:rsid w:val="00252A7C"/>
    <w:rsid w:val="00271416"/>
    <w:rsid w:val="00287F8D"/>
    <w:rsid w:val="002A6C63"/>
    <w:rsid w:val="002D2130"/>
    <w:rsid w:val="00306764"/>
    <w:rsid w:val="003519B2"/>
    <w:rsid w:val="0036665D"/>
    <w:rsid w:val="004472C7"/>
    <w:rsid w:val="00475896"/>
    <w:rsid w:val="0049180F"/>
    <w:rsid w:val="004E5640"/>
    <w:rsid w:val="00522148"/>
    <w:rsid w:val="00543E40"/>
    <w:rsid w:val="00551DC9"/>
    <w:rsid w:val="005B0C1B"/>
    <w:rsid w:val="005E3FAA"/>
    <w:rsid w:val="00677D90"/>
    <w:rsid w:val="00687E3A"/>
    <w:rsid w:val="00762A12"/>
    <w:rsid w:val="00780DFC"/>
    <w:rsid w:val="007828D3"/>
    <w:rsid w:val="007A5C86"/>
    <w:rsid w:val="0087504F"/>
    <w:rsid w:val="008F4F3C"/>
    <w:rsid w:val="00937B81"/>
    <w:rsid w:val="00946537"/>
    <w:rsid w:val="009508F8"/>
    <w:rsid w:val="0098004B"/>
    <w:rsid w:val="00A03906"/>
    <w:rsid w:val="00A763A9"/>
    <w:rsid w:val="00AA66E1"/>
    <w:rsid w:val="00B2229C"/>
    <w:rsid w:val="00C51681"/>
    <w:rsid w:val="00C97D1B"/>
    <w:rsid w:val="00CA1560"/>
    <w:rsid w:val="00CD699A"/>
    <w:rsid w:val="00CF0A3C"/>
    <w:rsid w:val="00D01D02"/>
    <w:rsid w:val="00D107D6"/>
    <w:rsid w:val="00D30EC0"/>
    <w:rsid w:val="00DF3AE6"/>
    <w:rsid w:val="00E22EEF"/>
    <w:rsid w:val="00EA35F6"/>
    <w:rsid w:val="00EF0BA3"/>
    <w:rsid w:val="00F8527D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D9DFF"/>
  <w15:chartTrackingRefBased/>
  <w15:docId w15:val="{469E9690-CBA4-42C9-B7E6-7CFC532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F8D"/>
    <w:pPr>
      <w:widowControl w:val="0"/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148"/>
    <w:rPr>
      <w:rFonts w:ascii="Arial" w:eastAsia="Arial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148"/>
    <w:rPr>
      <w:rFonts w:ascii="Arial" w:eastAsia="Arial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A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083BBFA-57E4-46A2-BFF8-E5F32BAE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Ricotta</dc:creator>
  <cp:keywords/>
  <dc:description/>
  <cp:lastModifiedBy>Massimo Tronci</cp:lastModifiedBy>
  <cp:revision>5</cp:revision>
  <dcterms:created xsi:type="dcterms:W3CDTF">2018-11-17T09:59:00Z</dcterms:created>
  <dcterms:modified xsi:type="dcterms:W3CDTF">2018-11-18T11:40:00Z</dcterms:modified>
</cp:coreProperties>
</file>