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15871"/>
        <w:gridCol w:w="2694"/>
        <w:gridCol w:w="2685"/>
      </w:tblGrid>
      <w:tr w:rsidR="008E53B6" w:rsidRPr="00E8774E" w14:paraId="27BC7C88" w14:textId="77777777" w:rsidTr="00575582">
        <w:tc>
          <w:tcPr>
            <w:tcW w:w="15871" w:type="dxa"/>
          </w:tcPr>
          <w:p w14:paraId="1E2D57DE" w14:textId="2EDBEA8C" w:rsidR="008E53B6" w:rsidRPr="00E8774E" w:rsidRDefault="007A56C1" w:rsidP="00867EA5">
            <w:pPr>
              <w:jc w:val="both"/>
              <w:rPr>
                <w:rFonts w:ascii="Arial" w:hAnsi="Arial" w:cs="Arial"/>
                <w:b/>
              </w:rPr>
            </w:pPr>
            <w:r>
              <w:rPr>
                <w:rFonts w:ascii="Arial" w:hAnsi="Arial" w:cs="Arial"/>
                <w:b/>
              </w:rPr>
              <w:t xml:space="preserve"> </w:t>
            </w:r>
            <w:r w:rsidR="008E53B6" w:rsidRPr="00E8774E">
              <w:rPr>
                <w:rFonts w:ascii="Arial" w:hAnsi="Arial" w:cs="Arial"/>
                <w:b/>
              </w:rPr>
              <w:t>ADEMPIMENTI</w:t>
            </w:r>
          </w:p>
        </w:tc>
        <w:tc>
          <w:tcPr>
            <w:tcW w:w="2694" w:type="dxa"/>
          </w:tcPr>
          <w:p w14:paraId="4C90B2F8" w14:textId="77777777" w:rsidR="008E53B6" w:rsidRPr="00E8774E" w:rsidRDefault="008E53B6" w:rsidP="00867EA5">
            <w:pPr>
              <w:jc w:val="both"/>
              <w:rPr>
                <w:rFonts w:ascii="Arial" w:hAnsi="Arial" w:cs="Arial"/>
                <w:b/>
              </w:rPr>
            </w:pPr>
            <w:r w:rsidRPr="00E8774E">
              <w:rPr>
                <w:rFonts w:ascii="Arial" w:hAnsi="Arial" w:cs="Arial"/>
                <w:b/>
              </w:rPr>
              <w:t>FONTE</w:t>
            </w:r>
          </w:p>
        </w:tc>
        <w:tc>
          <w:tcPr>
            <w:tcW w:w="2685" w:type="dxa"/>
          </w:tcPr>
          <w:p w14:paraId="662EAD55" w14:textId="77777777" w:rsidR="008E53B6" w:rsidRPr="00E8774E" w:rsidRDefault="008E53B6" w:rsidP="00867EA5">
            <w:pPr>
              <w:jc w:val="both"/>
              <w:rPr>
                <w:rFonts w:ascii="Arial" w:hAnsi="Arial" w:cs="Arial"/>
                <w:b/>
              </w:rPr>
            </w:pPr>
            <w:r w:rsidRPr="00E8774E">
              <w:rPr>
                <w:rFonts w:ascii="Arial" w:hAnsi="Arial" w:cs="Arial"/>
                <w:b/>
              </w:rPr>
              <w:t>SOGGETTO RESPONSABILE</w:t>
            </w:r>
          </w:p>
        </w:tc>
      </w:tr>
      <w:tr w:rsidR="008E53B6" w:rsidRPr="00E8774E" w14:paraId="3A57A15A" w14:textId="77777777" w:rsidTr="00575582">
        <w:tc>
          <w:tcPr>
            <w:tcW w:w="15871" w:type="dxa"/>
          </w:tcPr>
          <w:p w14:paraId="45CCDB69" w14:textId="586C541D" w:rsidR="008E53B6" w:rsidRPr="00E8774E" w:rsidRDefault="008E53B6"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NOMINA R</w:t>
            </w:r>
            <w:r w:rsidR="005E1D70" w:rsidRPr="00E8774E">
              <w:rPr>
                <w:rFonts w:ascii="Arial" w:hAnsi="Arial" w:cs="Arial"/>
                <w:b/>
                <w:sz w:val="24"/>
                <w:szCs w:val="24"/>
              </w:rPr>
              <w:t>UP</w:t>
            </w:r>
          </w:p>
          <w:p w14:paraId="4ED139A4" w14:textId="6B2BB516" w:rsidR="008E53B6" w:rsidRPr="00E8774E" w:rsidRDefault="005E1D70" w:rsidP="00867EA5">
            <w:pPr>
              <w:jc w:val="both"/>
              <w:rPr>
                <w:rFonts w:ascii="Arial" w:hAnsi="Arial" w:cs="Arial"/>
                <w:sz w:val="24"/>
                <w:szCs w:val="24"/>
              </w:rPr>
            </w:pPr>
            <w:r w:rsidRPr="00E8774E">
              <w:rPr>
                <w:rFonts w:ascii="Arial" w:hAnsi="Arial" w:cs="Arial"/>
                <w:sz w:val="24"/>
                <w:szCs w:val="24"/>
              </w:rPr>
              <w:t>Il</w:t>
            </w:r>
            <w:r w:rsidR="008E53B6" w:rsidRPr="00E8774E">
              <w:rPr>
                <w:rFonts w:ascii="Arial" w:hAnsi="Arial" w:cs="Arial"/>
                <w:sz w:val="24"/>
                <w:szCs w:val="24"/>
              </w:rPr>
              <w:t xml:space="preserve"> </w:t>
            </w:r>
            <w:r w:rsidRPr="00E8774E">
              <w:rPr>
                <w:rFonts w:ascii="Arial" w:hAnsi="Arial" w:cs="Arial"/>
                <w:sz w:val="24"/>
                <w:szCs w:val="24"/>
              </w:rPr>
              <w:t xml:space="preserve">Responsabile unico del progetto </w:t>
            </w:r>
            <w:r w:rsidR="008E53B6" w:rsidRPr="00E8774E">
              <w:rPr>
                <w:rFonts w:ascii="Arial" w:hAnsi="Arial" w:cs="Arial"/>
                <w:sz w:val="24"/>
                <w:szCs w:val="24"/>
              </w:rPr>
              <w:t xml:space="preserve">deve </w:t>
            </w:r>
            <w:r w:rsidR="00041D5E" w:rsidRPr="00E8774E">
              <w:rPr>
                <w:rFonts w:ascii="Arial" w:hAnsi="Arial" w:cs="Arial"/>
                <w:sz w:val="24"/>
                <w:szCs w:val="24"/>
              </w:rPr>
              <w:t xml:space="preserve">possedere </w:t>
            </w:r>
            <w:r w:rsidRPr="00E8774E">
              <w:rPr>
                <w:rFonts w:ascii="Arial" w:hAnsi="Arial" w:cs="Arial"/>
                <w:sz w:val="24"/>
                <w:szCs w:val="24"/>
              </w:rPr>
              <w:t>i</w:t>
            </w:r>
            <w:r w:rsidR="008E53B6" w:rsidRPr="00E8774E">
              <w:rPr>
                <w:rFonts w:ascii="Arial" w:hAnsi="Arial" w:cs="Arial"/>
                <w:sz w:val="24"/>
                <w:szCs w:val="24"/>
              </w:rPr>
              <w:t xml:space="preserve"> requisiti previsti </w:t>
            </w:r>
            <w:r w:rsidRPr="00E8774E">
              <w:rPr>
                <w:rFonts w:ascii="Arial" w:hAnsi="Arial" w:cs="Arial"/>
                <w:sz w:val="24"/>
                <w:szCs w:val="24"/>
              </w:rPr>
              <w:t>dall’Allegato I.2 del Codice.</w:t>
            </w:r>
          </w:p>
          <w:p w14:paraId="628E6803" w14:textId="63C9A00B" w:rsidR="006D7927" w:rsidRPr="00E8774E" w:rsidRDefault="006D7927" w:rsidP="00867EA5">
            <w:pPr>
              <w:spacing w:before="240"/>
              <w:jc w:val="both"/>
              <w:rPr>
                <w:rFonts w:ascii="Arial" w:hAnsi="Arial" w:cs="Arial"/>
                <w:sz w:val="24"/>
                <w:szCs w:val="24"/>
              </w:rPr>
            </w:pPr>
            <w:r w:rsidRPr="00E8774E">
              <w:rPr>
                <w:rFonts w:ascii="Arial" w:hAnsi="Arial" w:cs="Arial"/>
                <w:sz w:val="24"/>
                <w:szCs w:val="24"/>
              </w:rPr>
              <w:t>Il RUP incaricato deve rendere la dichiarazione ai sensi del DPR 445/</w:t>
            </w:r>
            <w:r w:rsidR="005F7181" w:rsidRPr="00E8774E">
              <w:rPr>
                <w:rFonts w:ascii="Arial" w:hAnsi="Arial" w:cs="Arial"/>
                <w:sz w:val="24"/>
                <w:szCs w:val="24"/>
              </w:rPr>
              <w:t>20</w:t>
            </w:r>
            <w:r w:rsidRPr="00E8774E">
              <w:rPr>
                <w:rFonts w:ascii="Arial" w:hAnsi="Arial" w:cs="Arial"/>
                <w:sz w:val="24"/>
                <w:szCs w:val="24"/>
              </w:rPr>
              <w:t>00 in ordine all’assenza dei conflitti d’interessi e d</w:t>
            </w:r>
            <w:r w:rsidR="0042796C" w:rsidRPr="00E8774E">
              <w:rPr>
                <w:rFonts w:ascii="Arial" w:hAnsi="Arial" w:cs="Arial"/>
                <w:sz w:val="24"/>
                <w:szCs w:val="24"/>
              </w:rPr>
              <w:t>e</w:t>
            </w:r>
            <w:r w:rsidRPr="00E8774E">
              <w:rPr>
                <w:rFonts w:ascii="Arial" w:hAnsi="Arial" w:cs="Arial"/>
                <w:sz w:val="24"/>
                <w:szCs w:val="24"/>
              </w:rPr>
              <w:t>ll</w:t>
            </w:r>
            <w:r w:rsidR="0042796C" w:rsidRPr="00E8774E">
              <w:rPr>
                <w:rFonts w:ascii="Arial" w:hAnsi="Arial" w:cs="Arial"/>
                <w:sz w:val="24"/>
                <w:szCs w:val="24"/>
              </w:rPr>
              <w:t>e</w:t>
            </w:r>
            <w:r w:rsidRPr="00E8774E">
              <w:rPr>
                <w:rFonts w:ascii="Arial" w:hAnsi="Arial" w:cs="Arial"/>
                <w:sz w:val="24"/>
                <w:szCs w:val="24"/>
              </w:rPr>
              <w:t xml:space="preserve"> cause di incompatib</w:t>
            </w:r>
            <w:r w:rsidR="0042796C" w:rsidRPr="00E8774E">
              <w:rPr>
                <w:rFonts w:ascii="Arial" w:hAnsi="Arial" w:cs="Arial"/>
                <w:sz w:val="24"/>
                <w:szCs w:val="24"/>
              </w:rPr>
              <w:t>i</w:t>
            </w:r>
            <w:r w:rsidRPr="00E8774E">
              <w:rPr>
                <w:rFonts w:ascii="Arial" w:hAnsi="Arial" w:cs="Arial"/>
                <w:sz w:val="24"/>
                <w:szCs w:val="24"/>
              </w:rPr>
              <w:t>lit</w:t>
            </w:r>
            <w:r w:rsidR="0042796C" w:rsidRPr="00E8774E">
              <w:rPr>
                <w:rFonts w:ascii="Arial" w:hAnsi="Arial" w:cs="Arial"/>
                <w:sz w:val="24"/>
                <w:szCs w:val="24"/>
              </w:rPr>
              <w:t>à.</w:t>
            </w:r>
          </w:p>
        </w:tc>
        <w:tc>
          <w:tcPr>
            <w:tcW w:w="2694" w:type="dxa"/>
          </w:tcPr>
          <w:p w14:paraId="0C39335A" w14:textId="4021DEF8" w:rsidR="008E53B6" w:rsidRPr="00E8774E" w:rsidRDefault="0042796C" w:rsidP="00867EA5">
            <w:pPr>
              <w:jc w:val="both"/>
              <w:rPr>
                <w:rFonts w:ascii="Arial" w:hAnsi="Arial" w:cs="Arial"/>
                <w:sz w:val="24"/>
                <w:szCs w:val="24"/>
              </w:rPr>
            </w:pPr>
            <w:r w:rsidRPr="00E8774E">
              <w:rPr>
                <w:rFonts w:ascii="Arial" w:hAnsi="Arial" w:cs="Arial"/>
                <w:sz w:val="24"/>
                <w:szCs w:val="24"/>
              </w:rPr>
              <w:t xml:space="preserve">Art. </w:t>
            </w:r>
            <w:r w:rsidR="004F722A" w:rsidRPr="00E8774E">
              <w:rPr>
                <w:rFonts w:ascii="Arial" w:hAnsi="Arial" w:cs="Arial"/>
                <w:sz w:val="24"/>
                <w:szCs w:val="24"/>
              </w:rPr>
              <w:t>15</w:t>
            </w:r>
            <w:r w:rsidR="00F3460D" w:rsidRPr="00E8774E">
              <w:rPr>
                <w:rFonts w:ascii="Arial" w:hAnsi="Arial" w:cs="Arial"/>
                <w:sz w:val="24"/>
                <w:szCs w:val="24"/>
              </w:rPr>
              <w:t xml:space="preserve"> D.</w:t>
            </w:r>
            <w:r w:rsidR="007779EF" w:rsidRPr="00E8774E">
              <w:rPr>
                <w:rFonts w:ascii="Arial" w:hAnsi="Arial" w:cs="Arial"/>
                <w:sz w:val="24"/>
                <w:szCs w:val="24"/>
              </w:rPr>
              <w:t>lgs.</w:t>
            </w:r>
            <w:r w:rsidR="00F3460D" w:rsidRPr="00E8774E">
              <w:rPr>
                <w:rFonts w:ascii="Arial" w:hAnsi="Arial" w:cs="Arial"/>
                <w:sz w:val="24"/>
                <w:szCs w:val="24"/>
              </w:rPr>
              <w:t xml:space="preserve"> 36/2023</w:t>
            </w:r>
            <w:r w:rsidR="004A22D3" w:rsidRPr="00E8774E">
              <w:rPr>
                <w:rFonts w:ascii="Arial" w:hAnsi="Arial" w:cs="Arial"/>
                <w:sz w:val="24"/>
                <w:szCs w:val="24"/>
              </w:rPr>
              <w:t xml:space="preserve"> </w:t>
            </w:r>
            <w:r w:rsidRPr="00E8774E">
              <w:rPr>
                <w:rFonts w:ascii="Arial" w:hAnsi="Arial" w:cs="Arial"/>
                <w:sz w:val="24"/>
                <w:szCs w:val="24"/>
              </w:rPr>
              <w:t xml:space="preserve">e </w:t>
            </w:r>
            <w:r w:rsidR="00A90AEE" w:rsidRPr="00E8774E">
              <w:rPr>
                <w:rFonts w:ascii="Arial" w:hAnsi="Arial" w:cs="Arial"/>
                <w:sz w:val="24"/>
                <w:szCs w:val="24"/>
              </w:rPr>
              <w:t>Allegato I.2</w:t>
            </w:r>
            <w:r w:rsidR="00C63479">
              <w:rPr>
                <w:rFonts w:ascii="Arial" w:hAnsi="Arial" w:cs="Arial"/>
                <w:sz w:val="24"/>
                <w:szCs w:val="24"/>
              </w:rPr>
              <w:t>.</w:t>
            </w:r>
          </w:p>
        </w:tc>
        <w:tc>
          <w:tcPr>
            <w:tcW w:w="2685" w:type="dxa"/>
          </w:tcPr>
          <w:p w14:paraId="0973CBA1" w14:textId="10DAA9F4" w:rsidR="008E53B6" w:rsidRPr="00E8774E" w:rsidRDefault="0042796C" w:rsidP="00867EA5">
            <w:pPr>
              <w:jc w:val="both"/>
              <w:rPr>
                <w:rFonts w:ascii="Arial" w:hAnsi="Arial" w:cs="Arial"/>
                <w:sz w:val="24"/>
                <w:szCs w:val="24"/>
              </w:rPr>
            </w:pPr>
            <w:r w:rsidRPr="00E8774E">
              <w:rPr>
                <w:rFonts w:ascii="Arial" w:hAnsi="Arial" w:cs="Arial"/>
                <w:sz w:val="24"/>
                <w:szCs w:val="24"/>
              </w:rPr>
              <w:t>Direttore dell’Area o RAD, previa approvazione da parte dell’organo deliberante del Centro di spesa</w:t>
            </w:r>
            <w:r w:rsidR="007779EF" w:rsidRPr="00E8774E">
              <w:rPr>
                <w:rFonts w:ascii="Arial" w:hAnsi="Arial" w:cs="Arial"/>
                <w:sz w:val="24"/>
                <w:szCs w:val="24"/>
              </w:rPr>
              <w:t xml:space="preserve"> (vedere Linee guida per l’utilizzo del Codice dei contratti pubblici D.lgs. 36/2023,</w:t>
            </w:r>
            <w:r w:rsidR="00041D5E" w:rsidRPr="00E8774E">
              <w:rPr>
                <w:rFonts w:ascii="Arial" w:hAnsi="Arial" w:cs="Arial"/>
                <w:sz w:val="24"/>
                <w:szCs w:val="24"/>
              </w:rPr>
              <w:t xml:space="preserve"> emanate con nota</w:t>
            </w:r>
            <w:r w:rsidR="007779EF" w:rsidRPr="00E8774E">
              <w:rPr>
                <w:rFonts w:ascii="Arial" w:hAnsi="Arial" w:cs="Arial"/>
                <w:sz w:val="24"/>
                <w:szCs w:val="24"/>
              </w:rPr>
              <w:t xml:space="preserve"> prot. n.60790 del 3/7/2023).</w:t>
            </w:r>
          </w:p>
        </w:tc>
      </w:tr>
      <w:tr w:rsidR="0042796C" w:rsidRPr="00E8774E" w14:paraId="11BAD9BC" w14:textId="77777777" w:rsidTr="00575582">
        <w:tc>
          <w:tcPr>
            <w:tcW w:w="15871" w:type="dxa"/>
          </w:tcPr>
          <w:p w14:paraId="12C69766" w14:textId="00E05124" w:rsidR="0042796C" w:rsidRPr="00E8774E" w:rsidRDefault="0042796C"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 xml:space="preserve">Inserimento dell’acquisto in programmazione </w:t>
            </w:r>
            <w:r w:rsidR="00756F87" w:rsidRPr="00E8774E">
              <w:rPr>
                <w:rFonts w:ascii="Arial" w:hAnsi="Arial" w:cs="Arial"/>
                <w:b/>
                <w:sz w:val="24"/>
                <w:szCs w:val="24"/>
              </w:rPr>
              <w:t>triennale</w:t>
            </w:r>
            <w:r w:rsidRPr="00E8774E">
              <w:rPr>
                <w:rFonts w:ascii="Arial" w:hAnsi="Arial" w:cs="Arial"/>
                <w:b/>
                <w:sz w:val="24"/>
                <w:szCs w:val="24"/>
              </w:rPr>
              <w:t xml:space="preserve"> degli acquisti di beni e servizi, qualora di importo pari o superiore a </w:t>
            </w:r>
            <w:r w:rsidR="00756F87" w:rsidRPr="00E8774E">
              <w:rPr>
                <w:rFonts w:ascii="Arial" w:hAnsi="Arial" w:cs="Arial"/>
                <w:b/>
                <w:sz w:val="24"/>
                <w:szCs w:val="24"/>
              </w:rPr>
              <w:t>1</w:t>
            </w:r>
            <w:r w:rsidRPr="00E8774E">
              <w:rPr>
                <w:rFonts w:ascii="Arial" w:hAnsi="Arial" w:cs="Arial"/>
                <w:b/>
                <w:sz w:val="24"/>
                <w:szCs w:val="24"/>
              </w:rPr>
              <w:t>40.000,00 Euro.</w:t>
            </w:r>
          </w:p>
        </w:tc>
        <w:tc>
          <w:tcPr>
            <w:tcW w:w="2694" w:type="dxa"/>
          </w:tcPr>
          <w:p w14:paraId="67AAD14F" w14:textId="6E739ADF" w:rsidR="0042796C" w:rsidRPr="00E8774E" w:rsidRDefault="0042796C" w:rsidP="00867EA5">
            <w:pPr>
              <w:jc w:val="both"/>
              <w:rPr>
                <w:rFonts w:ascii="Arial" w:hAnsi="Arial" w:cs="Arial"/>
                <w:sz w:val="24"/>
                <w:szCs w:val="24"/>
              </w:rPr>
            </w:pPr>
            <w:r w:rsidRPr="00E8774E">
              <w:rPr>
                <w:rFonts w:ascii="Arial" w:hAnsi="Arial" w:cs="Arial"/>
                <w:sz w:val="24"/>
                <w:szCs w:val="24"/>
              </w:rPr>
              <w:t xml:space="preserve">Art. </w:t>
            </w:r>
            <w:r w:rsidR="007657DD" w:rsidRPr="00E8774E">
              <w:rPr>
                <w:rFonts w:ascii="Arial" w:hAnsi="Arial" w:cs="Arial"/>
                <w:sz w:val="24"/>
                <w:szCs w:val="24"/>
              </w:rPr>
              <w:t>37 D.lgs</w:t>
            </w:r>
            <w:r w:rsidR="007779EF" w:rsidRPr="00E8774E">
              <w:rPr>
                <w:rFonts w:ascii="Arial" w:hAnsi="Arial" w:cs="Arial"/>
                <w:sz w:val="24"/>
                <w:szCs w:val="24"/>
              </w:rPr>
              <w:t>.</w:t>
            </w:r>
            <w:r w:rsidR="007657DD" w:rsidRPr="00E8774E">
              <w:rPr>
                <w:rFonts w:ascii="Arial" w:hAnsi="Arial" w:cs="Arial"/>
                <w:sz w:val="24"/>
                <w:szCs w:val="24"/>
              </w:rPr>
              <w:t xml:space="preserve"> 36/2023</w:t>
            </w:r>
            <w:r w:rsidR="00C63479">
              <w:rPr>
                <w:rFonts w:ascii="Arial" w:hAnsi="Arial" w:cs="Arial"/>
                <w:sz w:val="24"/>
                <w:szCs w:val="24"/>
              </w:rPr>
              <w:t>.</w:t>
            </w:r>
          </w:p>
        </w:tc>
        <w:tc>
          <w:tcPr>
            <w:tcW w:w="2685" w:type="dxa"/>
          </w:tcPr>
          <w:p w14:paraId="1F2CB8D1" w14:textId="18E40574" w:rsidR="0042796C" w:rsidRPr="00E8774E" w:rsidRDefault="0042796C" w:rsidP="00867EA5">
            <w:pPr>
              <w:jc w:val="both"/>
              <w:rPr>
                <w:rFonts w:ascii="Arial" w:hAnsi="Arial" w:cs="Arial"/>
                <w:sz w:val="24"/>
                <w:szCs w:val="24"/>
              </w:rPr>
            </w:pPr>
            <w:r w:rsidRPr="00E8774E">
              <w:rPr>
                <w:rFonts w:ascii="Arial" w:hAnsi="Arial" w:cs="Arial"/>
                <w:sz w:val="24"/>
                <w:szCs w:val="24"/>
              </w:rPr>
              <w:t>RUP/RAD/Direttore dell’Area</w:t>
            </w:r>
          </w:p>
        </w:tc>
      </w:tr>
      <w:tr w:rsidR="0042796C" w:rsidRPr="00E8774E" w14:paraId="13866B84" w14:textId="77777777" w:rsidTr="00575582">
        <w:tc>
          <w:tcPr>
            <w:tcW w:w="15871" w:type="dxa"/>
          </w:tcPr>
          <w:p w14:paraId="4C6CC5B3" w14:textId="02C6594A" w:rsidR="0042796C" w:rsidRPr="00E8774E" w:rsidRDefault="0042796C" w:rsidP="00867EA5">
            <w:pPr>
              <w:pStyle w:val="Paragrafoelenco"/>
              <w:numPr>
                <w:ilvl w:val="0"/>
                <w:numId w:val="1"/>
              </w:numPr>
              <w:spacing w:before="240"/>
              <w:jc w:val="both"/>
              <w:rPr>
                <w:rFonts w:ascii="Arial" w:hAnsi="Arial" w:cs="Arial"/>
                <w:b/>
                <w:sz w:val="24"/>
                <w:szCs w:val="24"/>
              </w:rPr>
            </w:pPr>
            <w:r w:rsidRPr="00E8774E">
              <w:rPr>
                <w:rFonts w:ascii="Arial" w:hAnsi="Arial" w:cs="Arial"/>
                <w:b/>
                <w:sz w:val="24"/>
                <w:szCs w:val="24"/>
              </w:rPr>
              <w:t>Redazione della documentazione di gara</w:t>
            </w:r>
          </w:p>
          <w:p w14:paraId="2F5D402B" w14:textId="1D28E393" w:rsidR="00292CCA" w:rsidRPr="00E8774E" w:rsidRDefault="00F24F51" w:rsidP="00867EA5">
            <w:pPr>
              <w:pStyle w:val="Paragrafoelenco"/>
              <w:numPr>
                <w:ilvl w:val="0"/>
                <w:numId w:val="4"/>
              </w:numPr>
              <w:spacing w:before="240"/>
              <w:jc w:val="both"/>
              <w:rPr>
                <w:rFonts w:ascii="Arial" w:hAnsi="Arial" w:cs="Arial"/>
                <w:sz w:val="24"/>
                <w:szCs w:val="24"/>
              </w:rPr>
            </w:pPr>
            <w:r w:rsidRPr="00E8774E">
              <w:rPr>
                <w:rFonts w:ascii="Arial" w:hAnsi="Arial" w:cs="Arial"/>
                <w:sz w:val="24"/>
                <w:szCs w:val="24"/>
              </w:rPr>
              <w:t xml:space="preserve">Inserimento nei documenti tecnici/amministrativi </w:t>
            </w:r>
            <w:r w:rsidRPr="00E8774E">
              <w:rPr>
                <w:rFonts w:ascii="Arial" w:hAnsi="Arial" w:cs="Arial"/>
                <w:b/>
                <w:sz w:val="24"/>
                <w:szCs w:val="24"/>
              </w:rPr>
              <w:t>(capitolato)</w:t>
            </w:r>
            <w:r w:rsidRPr="00E8774E">
              <w:rPr>
                <w:rFonts w:ascii="Arial" w:hAnsi="Arial" w:cs="Arial"/>
                <w:sz w:val="24"/>
                <w:szCs w:val="24"/>
              </w:rPr>
              <w:t xml:space="preserve"> di: </w:t>
            </w:r>
          </w:p>
          <w:p w14:paraId="46E6733E" w14:textId="77777777" w:rsidR="00833F79" w:rsidRPr="00E8774E" w:rsidRDefault="00F24F51"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indicazioni coerenti con gli elementi della programmazione di dettaglio della </w:t>
            </w:r>
            <w:r w:rsidR="00FF77A5" w:rsidRPr="00E8774E">
              <w:rPr>
                <w:rFonts w:ascii="Arial" w:hAnsi="Arial" w:cs="Arial"/>
                <w:sz w:val="24"/>
                <w:szCs w:val="24"/>
              </w:rPr>
              <w:t>M</w:t>
            </w:r>
            <w:r w:rsidRPr="00E8774E">
              <w:rPr>
                <w:rFonts w:ascii="Arial" w:hAnsi="Arial" w:cs="Arial"/>
                <w:sz w:val="24"/>
                <w:szCs w:val="24"/>
              </w:rPr>
              <w:t xml:space="preserve">isura; </w:t>
            </w:r>
          </w:p>
          <w:p w14:paraId="1632E59F" w14:textId="4C02EB82" w:rsidR="00292CCA" w:rsidRPr="00E8774E" w:rsidRDefault="00F24F51"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tempistiche coerenti con il cronoprogramma dell’intervento e del progetto di riferimento; </w:t>
            </w:r>
          </w:p>
          <w:p w14:paraId="3FA26B60" w14:textId="713AEF50" w:rsidR="00292CCA" w:rsidRPr="00E8774E" w:rsidRDefault="00F24F51"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monitoraggio in itinere del corretto avanzamento dell’attuazion</w:t>
            </w:r>
            <w:r w:rsidR="00FF77A5" w:rsidRPr="00E8774E">
              <w:rPr>
                <w:rFonts w:ascii="Arial" w:hAnsi="Arial" w:cs="Arial"/>
                <w:sz w:val="24"/>
                <w:szCs w:val="24"/>
              </w:rPr>
              <w:t>e</w:t>
            </w:r>
            <w:r w:rsidRPr="00E8774E">
              <w:rPr>
                <w:rFonts w:ascii="Arial" w:hAnsi="Arial" w:cs="Arial"/>
                <w:sz w:val="24"/>
                <w:szCs w:val="24"/>
              </w:rPr>
              <w:t xml:space="preserve"> per la pr</w:t>
            </w:r>
            <w:r w:rsidR="000D0377" w:rsidRPr="00E8774E">
              <w:rPr>
                <w:rFonts w:ascii="Arial" w:hAnsi="Arial" w:cs="Arial"/>
                <w:sz w:val="24"/>
                <w:szCs w:val="24"/>
              </w:rPr>
              <w:t>e</w:t>
            </w:r>
            <w:r w:rsidRPr="00E8774E">
              <w:rPr>
                <w:rFonts w:ascii="Arial" w:hAnsi="Arial" w:cs="Arial"/>
                <w:sz w:val="24"/>
                <w:szCs w:val="24"/>
              </w:rPr>
              <w:t>coce individuazione di scostamenti e messa in campo di azioni correttiv</w:t>
            </w:r>
            <w:r w:rsidR="00235EFD" w:rsidRPr="00E8774E">
              <w:rPr>
                <w:rFonts w:ascii="Arial" w:hAnsi="Arial" w:cs="Arial"/>
                <w:sz w:val="24"/>
                <w:szCs w:val="24"/>
              </w:rPr>
              <w:t>e</w:t>
            </w:r>
            <w:r w:rsidRPr="00E8774E">
              <w:rPr>
                <w:rFonts w:ascii="Arial" w:hAnsi="Arial" w:cs="Arial"/>
                <w:sz w:val="24"/>
                <w:szCs w:val="24"/>
              </w:rPr>
              <w:t xml:space="preserve">; </w:t>
            </w:r>
          </w:p>
          <w:p w14:paraId="7D2EAF7E" w14:textId="2C25CA8C" w:rsidR="00292CCA" w:rsidRPr="00E8774E" w:rsidRDefault="000D76AB"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indicazioni </w:t>
            </w:r>
            <w:r w:rsidR="000D0377" w:rsidRPr="00E8774E">
              <w:rPr>
                <w:rFonts w:ascii="Arial" w:hAnsi="Arial" w:cs="Arial"/>
                <w:sz w:val="24"/>
                <w:szCs w:val="24"/>
              </w:rPr>
              <w:t>coerenti con gli orientamenti tecnici sull’applicazione del principio DNSH, facendo rifer</w:t>
            </w:r>
            <w:r w:rsidR="00525793" w:rsidRPr="00E8774E">
              <w:rPr>
                <w:rFonts w:ascii="Arial" w:hAnsi="Arial" w:cs="Arial"/>
                <w:sz w:val="24"/>
                <w:szCs w:val="24"/>
              </w:rPr>
              <w:t>i</w:t>
            </w:r>
            <w:r w:rsidR="000D0377" w:rsidRPr="00E8774E">
              <w:rPr>
                <w:rFonts w:ascii="Arial" w:hAnsi="Arial" w:cs="Arial"/>
                <w:sz w:val="24"/>
                <w:szCs w:val="24"/>
              </w:rPr>
              <w:t xml:space="preserve">mento alla “Guida operativa per il rispetto del principio di non arrecare danno significativo all’ambiente (cd. DNSH)” di cui alla circolare MEF del </w:t>
            </w:r>
            <w:r w:rsidR="00FF77A5" w:rsidRPr="00E8774E">
              <w:rPr>
                <w:rFonts w:ascii="Arial" w:hAnsi="Arial" w:cs="Arial"/>
                <w:sz w:val="24"/>
                <w:szCs w:val="24"/>
              </w:rPr>
              <w:t>3</w:t>
            </w:r>
            <w:r w:rsidR="000D0377" w:rsidRPr="00E8774E">
              <w:rPr>
                <w:rFonts w:ascii="Arial" w:hAnsi="Arial" w:cs="Arial"/>
                <w:sz w:val="24"/>
                <w:szCs w:val="24"/>
              </w:rPr>
              <w:t>0/12/2021 n. 32</w:t>
            </w:r>
            <w:r>
              <w:rPr>
                <w:rFonts w:ascii="Arial" w:hAnsi="Arial" w:cs="Arial"/>
                <w:sz w:val="24"/>
                <w:szCs w:val="24"/>
              </w:rPr>
              <w:t xml:space="preserve"> </w:t>
            </w:r>
            <w:proofErr w:type="gramStart"/>
            <w:r>
              <w:rPr>
                <w:rFonts w:ascii="Arial" w:hAnsi="Arial" w:cs="Arial"/>
                <w:sz w:val="24"/>
                <w:szCs w:val="24"/>
              </w:rPr>
              <w:t>ed</w:t>
            </w:r>
            <w:proofErr w:type="gramEnd"/>
            <w:r>
              <w:rPr>
                <w:rFonts w:ascii="Arial" w:hAnsi="Arial" w:cs="Arial"/>
                <w:sz w:val="24"/>
                <w:szCs w:val="24"/>
              </w:rPr>
              <w:t xml:space="preserve"> Circolare del 13.10.2022, n. 33</w:t>
            </w:r>
            <w:r w:rsidR="000D0377" w:rsidRPr="00E8774E">
              <w:rPr>
                <w:rFonts w:ascii="Arial" w:hAnsi="Arial" w:cs="Arial"/>
                <w:sz w:val="24"/>
                <w:szCs w:val="24"/>
              </w:rPr>
              <w:t>;</w:t>
            </w:r>
          </w:p>
          <w:p w14:paraId="7F94F431" w14:textId="77777777" w:rsidR="00292CCA" w:rsidRPr="00E8774E" w:rsidRDefault="000D0377"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eventuale esclusione di attività non conformi alla normativa ambientale</w:t>
            </w:r>
            <w:r w:rsidR="00FA7220" w:rsidRPr="00E8774E">
              <w:rPr>
                <w:rFonts w:ascii="Arial" w:hAnsi="Arial" w:cs="Arial"/>
                <w:sz w:val="24"/>
                <w:szCs w:val="24"/>
              </w:rPr>
              <w:t xml:space="preserve"> dell’UE e nazionale (es: attività connesse ai combustibili fossili, attività connesse alle discariche di rifiuti, agli inceneritori o attività che generano emissioni di gas a effetto serra non inferiori ai pertinenti parametri di riferimento); </w:t>
            </w:r>
          </w:p>
          <w:p w14:paraId="2667BD50" w14:textId="7F7FE1C2" w:rsidR="00292CCA" w:rsidRPr="00E8774E" w:rsidRDefault="00FA7220"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acquisizione di eventuali attestazioni che certifichino il rispetto del principio DNSH e dei principi trasversali PNRR</w:t>
            </w:r>
            <w:r w:rsidR="00FF77A5" w:rsidRPr="00E8774E">
              <w:rPr>
                <w:rFonts w:ascii="Arial" w:hAnsi="Arial" w:cs="Arial"/>
                <w:sz w:val="24"/>
                <w:szCs w:val="24"/>
              </w:rPr>
              <w:t>;</w:t>
            </w:r>
            <w:r w:rsidRPr="00E8774E">
              <w:rPr>
                <w:rFonts w:ascii="Arial" w:hAnsi="Arial" w:cs="Arial"/>
                <w:sz w:val="24"/>
                <w:szCs w:val="24"/>
              </w:rPr>
              <w:t xml:space="preserve"> </w:t>
            </w:r>
          </w:p>
          <w:p w14:paraId="7CB5BB7A" w14:textId="77777777" w:rsidR="00655D4A" w:rsidRPr="00E8774E" w:rsidRDefault="00880DDC"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obbligo di riportare nei SAL una descrizione dettagliata sull’adempimento delle condizioni imposte dal rispetto del </w:t>
            </w:r>
            <w:r w:rsidR="00D77B81" w:rsidRPr="00E8774E">
              <w:rPr>
                <w:rFonts w:ascii="Arial" w:hAnsi="Arial" w:cs="Arial"/>
                <w:sz w:val="24"/>
                <w:szCs w:val="24"/>
              </w:rPr>
              <w:t>DNSH, di prevedere dei meccanismi amministrativi automatici che comportino la sospensione dei pagamenti e l’avocazione del procedimento in caso di mancato rispetto del DNSH</w:t>
            </w:r>
            <w:r w:rsidR="00655D4A" w:rsidRPr="00E8774E">
              <w:rPr>
                <w:rFonts w:ascii="Arial" w:hAnsi="Arial" w:cs="Arial"/>
                <w:sz w:val="24"/>
                <w:szCs w:val="24"/>
              </w:rPr>
              <w:t>;</w:t>
            </w:r>
          </w:p>
          <w:p w14:paraId="0B278859" w14:textId="7A5E5B15" w:rsidR="00BD691B" w:rsidRPr="00E8774E" w:rsidRDefault="00655D4A"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riferimento al pagamento per le spese sostenute dal soggetto attuatore, effettuato con le risorse del Fondo di Rotazione per l’attuazione dell’iniziativa </w:t>
            </w:r>
            <w:proofErr w:type="spellStart"/>
            <w:r w:rsidRPr="00E8774E">
              <w:rPr>
                <w:rFonts w:ascii="Arial" w:hAnsi="Arial" w:cs="Arial"/>
                <w:i/>
                <w:sz w:val="24"/>
                <w:szCs w:val="24"/>
              </w:rPr>
              <w:t>Next</w:t>
            </w:r>
            <w:proofErr w:type="spellEnd"/>
            <w:r w:rsidRPr="00E8774E">
              <w:rPr>
                <w:rFonts w:ascii="Arial" w:hAnsi="Arial" w:cs="Arial"/>
                <w:i/>
                <w:sz w:val="24"/>
                <w:szCs w:val="24"/>
              </w:rPr>
              <w:t xml:space="preserve"> Generation Eu – </w:t>
            </w:r>
            <w:r w:rsidRPr="00E8774E">
              <w:rPr>
                <w:rFonts w:ascii="Arial" w:hAnsi="Arial" w:cs="Arial"/>
                <w:sz w:val="24"/>
                <w:szCs w:val="24"/>
              </w:rPr>
              <w:t>Italia;</w:t>
            </w:r>
          </w:p>
          <w:p w14:paraId="10D931FD" w14:textId="65340B7E" w:rsidR="00375B94" w:rsidRPr="00E8774E" w:rsidRDefault="00375B94"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messa in campo di azioni correttive, applicazione di penali/ azioni sanzionatorie in caso di ritardi nella realizzazione o per il mancato rilascio degli output previsti</w:t>
            </w:r>
            <w:r w:rsidR="00E8774E">
              <w:rPr>
                <w:rFonts w:ascii="Arial" w:hAnsi="Arial" w:cs="Arial"/>
                <w:sz w:val="24"/>
                <w:szCs w:val="24"/>
              </w:rPr>
              <w:t>,</w:t>
            </w:r>
            <w:r w:rsidRPr="00E8774E">
              <w:rPr>
                <w:rFonts w:ascii="Arial" w:hAnsi="Arial" w:cs="Arial"/>
                <w:sz w:val="24"/>
                <w:szCs w:val="24"/>
              </w:rPr>
              <w:t xml:space="preserve"> nonché il</w:t>
            </w:r>
            <w:r w:rsidR="007A3712">
              <w:rPr>
                <w:rFonts w:ascii="Arial" w:hAnsi="Arial" w:cs="Arial"/>
                <w:sz w:val="24"/>
                <w:szCs w:val="24"/>
              </w:rPr>
              <w:t xml:space="preserve"> mancato</w:t>
            </w:r>
            <w:r w:rsidRPr="00E8774E">
              <w:rPr>
                <w:rFonts w:ascii="Arial" w:hAnsi="Arial" w:cs="Arial"/>
                <w:sz w:val="24"/>
                <w:szCs w:val="24"/>
              </w:rPr>
              <w:t xml:space="preserve"> rilascio di eventuali “prodotti output</w:t>
            </w:r>
            <w:r w:rsidR="007008D8" w:rsidRPr="00E8774E">
              <w:rPr>
                <w:rFonts w:ascii="Arial" w:hAnsi="Arial" w:cs="Arial"/>
                <w:sz w:val="24"/>
                <w:szCs w:val="24"/>
              </w:rPr>
              <w:t>”</w:t>
            </w:r>
            <w:r w:rsidRPr="00E8774E">
              <w:rPr>
                <w:rFonts w:ascii="Arial" w:hAnsi="Arial" w:cs="Arial"/>
                <w:sz w:val="24"/>
                <w:szCs w:val="24"/>
              </w:rPr>
              <w:t xml:space="preserve"> di conclusione delle attività al fine di attestare il raggiungimento dei target associati al progetto;</w:t>
            </w:r>
          </w:p>
          <w:p w14:paraId="6294027F" w14:textId="73792FB1" w:rsidR="00292CCA" w:rsidRPr="00E8774E" w:rsidRDefault="00FA7220"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obbligo, per </w:t>
            </w:r>
            <w:r w:rsidR="00DC7F03" w:rsidRPr="00E8774E">
              <w:rPr>
                <w:rFonts w:ascii="Arial" w:hAnsi="Arial" w:cs="Arial"/>
                <w:sz w:val="24"/>
                <w:szCs w:val="24"/>
              </w:rPr>
              <w:t>l’aggiudicatari</w:t>
            </w:r>
            <w:r w:rsidR="00257CCC" w:rsidRPr="00E8774E">
              <w:rPr>
                <w:rFonts w:ascii="Arial" w:hAnsi="Arial" w:cs="Arial"/>
                <w:sz w:val="24"/>
                <w:szCs w:val="24"/>
              </w:rPr>
              <w:t>o</w:t>
            </w:r>
            <w:r w:rsidRPr="00E8774E">
              <w:rPr>
                <w:rFonts w:ascii="Arial" w:hAnsi="Arial" w:cs="Arial"/>
                <w:sz w:val="24"/>
                <w:szCs w:val="24"/>
              </w:rPr>
              <w:t xml:space="preserve"> che occupa dai 15 a 50 dipendenti, entro 6 mesi dalla conclusione del contratto, di consegnare all’Amministrazione una relazione di genere sulla situazione del personale maschile e femminile, precisando che la stessa deve essere trasmessa alle rappresentanze sindacali aziendali e ai consiglieri regionali di parità</w:t>
            </w:r>
            <w:r w:rsidR="007E4989" w:rsidRPr="00E8774E">
              <w:rPr>
                <w:rFonts w:ascii="Arial" w:hAnsi="Arial" w:cs="Arial"/>
                <w:sz w:val="24"/>
                <w:szCs w:val="24"/>
              </w:rPr>
              <w:t>;</w:t>
            </w:r>
            <w:r w:rsidR="00457C98" w:rsidRPr="00E8774E">
              <w:rPr>
                <w:rFonts w:ascii="Arial" w:hAnsi="Arial" w:cs="Arial"/>
                <w:sz w:val="24"/>
                <w:szCs w:val="24"/>
              </w:rPr>
              <w:t xml:space="preserve"> </w:t>
            </w:r>
          </w:p>
          <w:p w14:paraId="5C078A0A" w14:textId="1DB525B8" w:rsidR="00292CCA" w:rsidRPr="00E8774E" w:rsidRDefault="00457C98"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obbligo, per </w:t>
            </w:r>
            <w:r w:rsidR="00257CCC" w:rsidRPr="00E8774E">
              <w:rPr>
                <w:rFonts w:ascii="Arial" w:hAnsi="Arial" w:cs="Arial"/>
                <w:sz w:val="24"/>
                <w:szCs w:val="24"/>
              </w:rPr>
              <w:t>l’aggiudicatario</w:t>
            </w:r>
            <w:r w:rsidR="008F1E65" w:rsidRPr="00E8774E">
              <w:rPr>
                <w:rFonts w:ascii="Arial" w:hAnsi="Arial" w:cs="Arial"/>
                <w:sz w:val="24"/>
                <w:szCs w:val="24"/>
              </w:rPr>
              <w:t xml:space="preserve"> </w:t>
            </w:r>
            <w:r w:rsidRPr="00E8774E">
              <w:rPr>
                <w:rFonts w:ascii="Arial" w:hAnsi="Arial" w:cs="Arial"/>
                <w:sz w:val="24"/>
                <w:szCs w:val="24"/>
              </w:rPr>
              <w:t>che occupa da 15 a 50 dipendenti</w:t>
            </w:r>
            <w:r w:rsidR="008F1E65" w:rsidRPr="00E8774E">
              <w:rPr>
                <w:rFonts w:ascii="Arial" w:hAnsi="Arial" w:cs="Arial"/>
                <w:sz w:val="24"/>
                <w:szCs w:val="24"/>
              </w:rPr>
              <w:t>,</w:t>
            </w:r>
            <w:r w:rsidRPr="00E8774E">
              <w:rPr>
                <w:rFonts w:ascii="Arial" w:hAnsi="Arial" w:cs="Arial"/>
                <w:sz w:val="24"/>
                <w:szCs w:val="24"/>
              </w:rPr>
              <w:t xml:space="preserve"> di consegnare, entro 6 mesi dalla conclusione del contratto,</w:t>
            </w:r>
            <w:r w:rsidR="008F1E65" w:rsidRPr="00E8774E">
              <w:rPr>
                <w:rFonts w:ascii="Arial" w:hAnsi="Arial" w:cs="Arial"/>
                <w:sz w:val="24"/>
                <w:szCs w:val="24"/>
              </w:rPr>
              <w:t xml:space="preserve"> all’Amministrazione,</w:t>
            </w:r>
            <w:r w:rsidRPr="00E8774E">
              <w:rPr>
                <w:rFonts w:ascii="Arial" w:hAnsi="Arial" w:cs="Arial"/>
                <w:sz w:val="24"/>
                <w:szCs w:val="24"/>
              </w:rPr>
              <w:t xml:space="preserve"> </w:t>
            </w:r>
            <w:r w:rsidR="00A077FB" w:rsidRPr="00E8774E">
              <w:rPr>
                <w:rFonts w:ascii="Arial" w:hAnsi="Arial" w:cs="Arial"/>
                <w:sz w:val="24"/>
                <w:szCs w:val="24"/>
              </w:rPr>
              <w:t>la</w:t>
            </w:r>
            <w:r w:rsidR="00F04880" w:rsidRPr="00E8774E">
              <w:rPr>
                <w:rFonts w:ascii="Arial" w:hAnsi="Arial" w:cs="Arial"/>
                <w:sz w:val="24"/>
                <w:szCs w:val="24"/>
              </w:rPr>
              <w:t xml:space="preserve"> </w:t>
            </w:r>
            <w:r w:rsidRPr="00E8774E">
              <w:rPr>
                <w:rFonts w:ascii="Arial" w:hAnsi="Arial" w:cs="Arial"/>
                <w:sz w:val="24"/>
                <w:szCs w:val="24"/>
              </w:rPr>
              <w:t xml:space="preserve">relazione relativa all’assolvimento degli obblighi di cui alla </w:t>
            </w:r>
            <w:r w:rsidR="00CC51FB" w:rsidRPr="00E8774E">
              <w:rPr>
                <w:rFonts w:ascii="Arial" w:hAnsi="Arial" w:cs="Arial"/>
                <w:sz w:val="24"/>
                <w:szCs w:val="24"/>
              </w:rPr>
              <w:t>legge</w:t>
            </w:r>
            <w:r w:rsidR="000204D3" w:rsidRPr="00E8774E">
              <w:rPr>
                <w:rFonts w:ascii="Arial" w:hAnsi="Arial" w:cs="Arial"/>
                <w:sz w:val="24"/>
                <w:szCs w:val="24"/>
              </w:rPr>
              <w:t xml:space="preserve"> n. 68/99 </w:t>
            </w:r>
            <w:r w:rsidRPr="00E8774E">
              <w:rPr>
                <w:rFonts w:ascii="Arial" w:hAnsi="Arial" w:cs="Arial"/>
                <w:sz w:val="24"/>
                <w:szCs w:val="24"/>
              </w:rPr>
              <w:t xml:space="preserve">e alle eventuali sanzioni e provvedimenti disposti a </w:t>
            </w:r>
            <w:r w:rsidR="008F1E65" w:rsidRPr="00E8774E">
              <w:rPr>
                <w:rFonts w:ascii="Arial" w:hAnsi="Arial" w:cs="Arial"/>
                <w:sz w:val="24"/>
                <w:szCs w:val="24"/>
              </w:rPr>
              <w:t>proprio</w:t>
            </w:r>
            <w:r w:rsidRPr="00E8774E">
              <w:rPr>
                <w:rFonts w:ascii="Arial" w:hAnsi="Arial" w:cs="Arial"/>
                <w:sz w:val="24"/>
                <w:szCs w:val="24"/>
              </w:rPr>
              <w:t xml:space="preserve"> carico nel triennio antecedente la data di scadenza di presentazione delle offerte, precisando che la relazione deve essere trasmessa alle rappresentanze sindacali aziendali</w:t>
            </w:r>
            <w:r w:rsidR="007E4989" w:rsidRPr="00E8774E">
              <w:rPr>
                <w:rFonts w:ascii="Arial" w:hAnsi="Arial" w:cs="Arial"/>
                <w:sz w:val="24"/>
                <w:szCs w:val="24"/>
              </w:rPr>
              <w:t>;</w:t>
            </w:r>
            <w:r w:rsidR="00BC6A1E" w:rsidRPr="00E8774E">
              <w:rPr>
                <w:rFonts w:ascii="Arial" w:hAnsi="Arial" w:cs="Arial"/>
                <w:sz w:val="24"/>
                <w:szCs w:val="24"/>
              </w:rPr>
              <w:t xml:space="preserve"> </w:t>
            </w:r>
          </w:p>
          <w:p w14:paraId="5E0A2C92" w14:textId="7612AE5B" w:rsidR="00292CCA" w:rsidRPr="00E8774E" w:rsidRDefault="00BC6A1E"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eventuale obbligo di assicurare una quota pari almeno al 30% (o inferiore) delle assunzioni necessarie per l’esecuzione del contratto o per la realizzazione di attività ad esso con</w:t>
            </w:r>
            <w:r w:rsidR="008F1E65" w:rsidRPr="00E8774E">
              <w:rPr>
                <w:rFonts w:ascii="Arial" w:hAnsi="Arial" w:cs="Arial"/>
                <w:sz w:val="24"/>
                <w:szCs w:val="24"/>
              </w:rPr>
              <w:t>n</w:t>
            </w:r>
            <w:r w:rsidRPr="00E8774E">
              <w:rPr>
                <w:rFonts w:ascii="Arial" w:hAnsi="Arial" w:cs="Arial"/>
                <w:sz w:val="24"/>
                <w:szCs w:val="24"/>
              </w:rPr>
              <w:t>esse o strumentali</w:t>
            </w:r>
            <w:r w:rsidR="002242F7" w:rsidRPr="00E8774E">
              <w:rPr>
                <w:rFonts w:ascii="Arial" w:hAnsi="Arial" w:cs="Arial"/>
                <w:sz w:val="24"/>
                <w:szCs w:val="24"/>
              </w:rPr>
              <w:t>, sia all’occupazione giovanile sia all’occupazione femminile (N.B. in caso di deroga o quota inferiore</w:t>
            </w:r>
            <w:r w:rsidR="001458CF" w:rsidRPr="00E8774E">
              <w:rPr>
                <w:rFonts w:ascii="Arial" w:hAnsi="Arial" w:cs="Arial"/>
                <w:sz w:val="24"/>
                <w:szCs w:val="24"/>
              </w:rPr>
              <w:t xml:space="preserve"> il RUP deve</w:t>
            </w:r>
            <w:r w:rsidR="002242F7" w:rsidRPr="00E8774E">
              <w:rPr>
                <w:rFonts w:ascii="Arial" w:hAnsi="Arial" w:cs="Arial"/>
                <w:sz w:val="24"/>
                <w:szCs w:val="24"/>
              </w:rPr>
              <w:t xml:space="preserve"> motivare adeguatamente</w:t>
            </w:r>
            <w:r w:rsidR="001458CF" w:rsidRPr="00723097">
              <w:rPr>
                <w:rFonts w:ascii="Arial" w:hAnsi="Arial" w:cs="Arial"/>
                <w:b/>
                <w:sz w:val="24"/>
                <w:szCs w:val="24"/>
              </w:rPr>
              <w:t xml:space="preserve">, la motivazione va inserita </w:t>
            </w:r>
            <w:r w:rsidR="002242F7" w:rsidRPr="00723097">
              <w:rPr>
                <w:rFonts w:ascii="Arial" w:hAnsi="Arial" w:cs="Arial"/>
                <w:b/>
                <w:sz w:val="24"/>
                <w:szCs w:val="24"/>
              </w:rPr>
              <w:t>nella de</w:t>
            </w:r>
            <w:r w:rsidR="00732466">
              <w:rPr>
                <w:rFonts w:ascii="Arial" w:hAnsi="Arial" w:cs="Arial"/>
                <w:b/>
                <w:sz w:val="24"/>
                <w:szCs w:val="24"/>
              </w:rPr>
              <w:t>cisone di</w:t>
            </w:r>
            <w:r w:rsidR="002242F7" w:rsidRPr="00723097">
              <w:rPr>
                <w:rFonts w:ascii="Arial" w:hAnsi="Arial" w:cs="Arial"/>
                <w:b/>
                <w:sz w:val="24"/>
                <w:szCs w:val="24"/>
              </w:rPr>
              <w:t xml:space="preserve"> contrarre</w:t>
            </w:r>
            <w:r w:rsidR="001458CF" w:rsidRPr="00723097">
              <w:rPr>
                <w:rFonts w:ascii="Arial" w:hAnsi="Arial" w:cs="Arial"/>
                <w:b/>
                <w:sz w:val="24"/>
                <w:szCs w:val="24"/>
              </w:rPr>
              <w:t xml:space="preserve"> </w:t>
            </w:r>
            <w:r w:rsidR="002242F7" w:rsidRPr="00723097">
              <w:rPr>
                <w:rFonts w:ascii="Arial" w:hAnsi="Arial" w:cs="Arial"/>
                <w:b/>
                <w:sz w:val="24"/>
                <w:szCs w:val="24"/>
              </w:rPr>
              <w:t>o in relativo atto immediat</w:t>
            </w:r>
            <w:r w:rsidR="008F1E65" w:rsidRPr="00723097">
              <w:rPr>
                <w:rFonts w:ascii="Arial" w:hAnsi="Arial" w:cs="Arial"/>
                <w:b/>
                <w:sz w:val="24"/>
                <w:szCs w:val="24"/>
              </w:rPr>
              <w:t>amente</w:t>
            </w:r>
            <w:r w:rsidR="002242F7" w:rsidRPr="00723097">
              <w:rPr>
                <w:rFonts w:ascii="Arial" w:hAnsi="Arial" w:cs="Arial"/>
                <w:b/>
                <w:sz w:val="24"/>
                <w:szCs w:val="24"/>
              </w:rPr>
              <w:t xml:space="preserve"> esecutivo)</w:t>
            </w:r>
            <w:r w:rsidR="008F1E65" w:rsidRPr="00E8774E">
              <w:rPr>
                <w:rFonts w:ascii="Arial" w:hAnsi="Arial" w:cs="Arial"/>
                <w:sz w:val="24"/>
                <w:szCs w:val="24"/>
              </w:rPr>
              <w:t>;</w:t>
            </w:r>
            <w:r w:rsidR="002242F7" w:rsidRPr="00E8774E">
              <w:rPr>
                <w:rFonts w:ascii="Arial" w:hAnsi="Arial" w:cs="Arial"/>
                <w:sz w:val="24"/>
                <w:szCs w:val="24"/>
              </w:rPr>
              <w:t xml:space="preserve"> </w:t>
            </w:r>
          </w:p>
          <w:p w14:paraId="4B5F21B8" w14:textId="01B8FD37" w:rsidR="00292CCA" w:rsidRPr="00E8774E" w:rsidRDefault="002242F7"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penali per inadempimento agli obblighi </w:t>
            </w:r>
            <w:r w:rsidR="008F1E65" w:rsidRPr="00E8774E">
              <w:rPr>
                <w:rFonts w:ascii="Arial" w:hAnsi="Arial" w:cs="Arial"/>
                <w:sz w:val="24"/>
                <w:szCs w:val="24"/>
              </w:rPr>
              <w:t>sopra indicati</w:t>
            </w:r>
            <w:r w:rsidRPr="00E8774E">
              <w:rPr>
                <w:rFonts w:ascii="Arial" w:hAnsi="Arial" w:cs="Arial"/>
                <w:sz w:val="24"/>
                <w:szCs w:val="24"/>
              </w:rPr>
              <w:t xml:space="preserve"> (penali per ritardato adempimento da fissare tra lo 0,6 per mille e l’1 per mille dell’ammontare netto contrattuale che non possono superare complessivamente il 20% dello stesso ammontare); </w:t>
            </w:r>
          </w:p>
          <w:p w14:paraId="026D5EEC" w14:textId="77777777" w:rsidR="00292CCA" w:rsidRPr="00E8774E" w:rsidRDefault="002242F7"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lastRenderedPageBreak/>
              <w:t>(PER I LAVORI) premio di accelerazione per ogni giorno di anticipo rispetto al termine di ultimazione previsto</w:t>
            </w:r>
            <w:r w:rsidR="008F1E65" w:rsidRPr="00E8774E">
              <w:rPr>
                <w:rFonts w:ascii="Arial" w:hAnsi="Arial" w:cs="Arial"/>
                <w:sz w:val="24"/>
                <w:szCs w:val="24"/>
              </w:rPr>
              <w:t>,</w:t>
            </w:r>
            <w:r w:rsidRPr="00E8774E">
              <w:rPr>
                <w:rFonts w:ascii="Arial" w:hAnsi="Arial" w:cs="Arial"/>
                <w:sz w:val="24"/>
                <w:szCs w:val="24"/>
              </w:rPr>
              <w:t xml:space="preserve"> da calcolarsi come le penali per ritardato adempimento; </w:t>
            </w:r>
          </w:p>
          <w:p w14:paraId="5F02A423" w14:textId="77777777" w:rsidR="00081B0B" w:rsidRPr="00E8774E" w:rsidRDefault="002242F7"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eventuale anticipazione del prezzo fino al 30% dell’importo contrattuale, qualora vi siano le risorse economiche;</w:t>
            </w:r>
          </w:p>
          <w:p w14:paraId="1294A057" w14:textId="1D7650B3" w:rsidR="00081B0B" w:rsidRPr="00E8774E" w:rsidRDefault="002242F7"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previsione circa la conservazione dei documenti attinenti alla procedura di gara per consentire l’accertamento della regolarità della procedura</w:t>
            </w:r>
            <w:r w:rsidR="00081B0B" w:rsidRPr="00E8774E">
              <w:rPr>
                <w:rFonts w:ascii="Arial" w:hAnsi="Arial" w:cs="Arial"/>
                <w:sz w:val="24"/>
                <w:szCs w:val="24"/>
              </w:rPr>
              <w:t>;</w:t>
            </w:r>
          </w:p>
          <w:p w14:paraId="3AC18C1F" w14:textId="00725F1B" w:rsidR="00833F79" w:rsidRPr="00E8774E" w:rsidRDefault="001A4696" w:rsidP="00867EA5">
            <w:pPr>
              <w:pStyle w:val="Paragrafoelenco"/>
              <w:numPr>
                <w:ilvl w:val="0"/>
                <w:numId w:val="8"/>
              </w:numPr>
              <w:spacing w:before="240"/>
              <w:jc w:val="both"/>
              <w:rPr>
                <w:rFonts w:ascii="Arial" w:hAnsi="Arial" w:cs="Arial"/>
                <w:sz w:val="24"/>
                <w:szCs w:val="24"/>
              </w:rPr>
            </w:pPr>
            <w:r w:rsidRPr="00723097">
              <w:rPr>
                <w:rFonts w:ascii="Arial" w:hAnsi="Arial" w:cs="Arial"/>
                <w:b/>
                <w:sz w:val="24"/>
                <w:szCs w:val="24"/>
              </w:rPr>
              <w:t xml:space="preserve">riferimento allo specifico progetto PNRR </w:t>
            </w:r>
            <w:r w:rsidR="001431CD" w:rsidRPr="00723097">
              <w:rPr>
                <w:rFonts w:ascii="Arial" w:hAnsi="Arial" w:cs="Arial"/>
                <w:b/>
                <w:sz w:val="24"/>
                <w:szCs w:val="24"/>
              </w:rPr>
              <w:t>(da specificare altresì nella</w:t>
            </w:r>
            <w:r w:rsidR="002525AB" w:rsidRPr="00723097">
              <w:rPr>
                <w:rFonts w:ascii="Arial" w:hAnsi="Arial" w:cs="Arial"/>
                <w:b/>
                <w:sz w:val="24"/>
                <w:szCs w:val="24"/>
              </w:rPr>
              <w:t xml:space="preserve"> d</w:t>
            </w:r>
            <w:r w:rsidR="00BC4B65">
              <w:rPr>
                <w:rFonts w:ascii="Arial" w:hAnsi="Arial" w:cs="Arial"/>
                <w:b/>
                <w:sz w:val="24"/>
                <w:szCs w:val="24"/>
              </w:rPr>
              <w:t>ecisione di</w:t>
            </w:r>
            <w:r w:rsidR="002525AB" w:rsidRPr="00723097">
              <w:rPr>
                <w:rFonts w:ascii="Arial" w:hAnsi="Arial" w:cs="Arial"/>
                <w:b/>
                <w:sz w:val="24"/>
                <w:szCs w:val="24"/>
              </w:rPr>
              <w:t xml:space="preserve"> contrarre</w:t>
            </w:r>
            <w:r w:rsidR="001431CD" w:rsidRPr="00723097">
              <w:rPr>
                <w:rFonts w:ascii="Arial" w:hAnsi="Arial" w:cs="Arial"/>
                <w:b/>
                <w:sz w:val="24"/>
                <w:szCs w:val="24"/>
              </w:rPr>
              <w:t>)</w:t>
            </w:r>
            <w:r w:rsidR="008F1E65" w:rsidRPr="00E8774E">
              <w:rPr>
                <w:rFonts w:ascii="Arial" w:hAnsi="Arial" w:cs="Arial"/>
                <w:sz w:val="24"/>
                <w:szCs w:val="24"/>
              </w:rPr>
              <w:t>;</w:t>
            </w:r>
            <w:r w:rsidR="002242F7" w:rsidRPr="00E8774E">
              <w:rPr>
                <w:rFonts w:ascii="Arial" w:hAnsi="Arial" w:cs="Arial"/>
                <w:sz w:val="24"/>
                <w:szCs w:val="24"/>
              </w:rPr>
              <w:t xml:space="preserve"> </w:t>
            </w:r>
          </w:p>
          <w:p w14:paraId="3D22290F" w14:textId="30D6C7F3" w:rsidR="003C1CB6" w:rsidRPr="00E8774E" w:rsidRDefault="002242F7" w:rsidP="00867EA5">
            <w:pPr>
              <w:pStyle w:val="Paragrafoelenco"/>
              <w:numPr>
                <w:ilvl w:val="0"/>
                <w:numId w:val="8"/>
              </w:numPr>
              <w:spacing w:before="240"/>
              <w:jc w:val="both"/>
              <w:rPr>
                <w:rFonts w:ascii="Arial" w:hAnsi="Arial" w:cs="Arial"/>
                <w:sz w:val="24"/>
                <w:szCs w:val="24"/>
              </w:rPr>
            </w:pPr>
            <w:r w:rsidRPr="00E8774E">
              <w:rPr>
                <w:rFonts w:ascii="Arial" w:hAnsi="Arial" w:cs="Arial"/>
                <w:sz w:val="24"/>
                <w:szCs w:val="24"/>
              </w:rPr>
              <w:t xml:space="preserve">obbligo per il subappaltatore di comunicazione dei dati relativi al titolare effettivo; </w:t>
            </w:r>
          </w:p>
          <w:p w14:paraId="27F1A911" w14:textId="19FD04E8" w:rsidR="001D608F" w:rsidRPr="00E8774E" w:rsidRDefault="00AB2CEA" w:rsidP="00867EA5">
            <w:pPr>
              <w:pStyle w:val="Paragrafoelenco"/>
              <w:numPr>
                <w:ilvl w:val="0"/>
                <w:numId w:val="4"/>
              </w:numPr>
              <w:spacing w:before="240"/>
              <w:jc w:val="both"/>
              <w:rPr>
                <w:rFonts w:ascii="Arial" w:hAnsi="Arial" w:cs="Arial"/>
                <w:sz w:val="24"/>
                <w:szCs w:val="24"/>
              </w:rPr>
            </w:pPr>
            <w:r w:rsidRPr="00E8774E">
              <w:rPr>
                <w:rFonts w:ascii="Arial" w:hAnsi="Arial" w:cs="Arial"/>
                <w:sz w:val="24"/>
                <w:szCs w:val="24"/>
              </w:rPr>
              <w:t xml:space="preserve">Inserimento nel </w:t>
            </w:r>
            <w:r w:rsidRPr="00E8774E">
              <w:rPr>
                <w:rFonts w:ascii="Arial" w:hAnsi="Arial" w:cs="Arial"/>
                <w:b/>
                <w:sz w:val="24"/>
                <w:szCs w:val="24"/>
              </w:rPr>
              <w:t>disciplinare di gara</w:t>
            </w:r>
            <w:r w:rsidRPr="00E8774E">
              <w:rPr>
                <w:rFonts w:ascii="Arial" w:hAnsi="Arial" w:cs="Arial"/>
                <w:sz w:val="24"/>
                <w:szCs w:val="24"/>
              </w:rPr>
              <w:t xml:space="preserve"> (da redigersi conformemente al bando tipo ANAC) </w:t>
            </w:r>
            <w:r w:rsidR="008F1E65" w:rsidRPr="00E8774E">
              <w:rPr>
                <w:rFonts w:ascii="Arial" w:hAnsi="Arial" w:cs="Arial"/>
                <w:sz w:val="24"/>
                <w:szCs w:val="24"/>
              </w:rPr>
              <w:t>delle seguenti prescrizioni</w:t>
            </w:r>
            <w:r w:rsidRPr="00E8774E">
              <w:rPr>
                <w:rFonts w:ascii="Arial" w:hAnsi="Arial" w:cs="Arial"/>
                <w:sz w:val="24"/>
                <w:szCs w:val="24"/>
              </w:rPr>
              <w:t>:</w:t>
            </w:r>
          </w:p>
          <w:p w14:paraId="7550050A" w14:textId="4D3A6FD4" w:rsidR="003C1CB6" w:rsidRPr="00E8774E" w:rsidRDefault="00AB2CEA"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produzione</w:t>
            </w:r>
            <w:r w:rsidR="008F1E65" w:rsidRPr="00E8774E">
              <w:rPr>
                <w:rFonts w:ascii="Arial" w:hAnsi="Arial" w:cs="Arial"/>
                <w:sz w:val="24"/>
                <w:szCs w:val="24"/>
              </w:rPr>
              <w:t>,</w:t>
            </w:r>
            <w:r w:rsidRPr="00E8774E">
              <w:rPr>
                <w:rFonts w:ascii="Arial" w:hAnsi="Arial" w:cs="Arial"/>
                <w:sz w:val="24"/>
                <w:szCs w:val="24"/>
              </w:rPr>
              <w:t xml:space="preserve"> a pena d’esclusione, per gli operatori economici con oltre 50 dipendenti, di copia dell’ultimo rapporto sulla situazione del personale, con attestazione della sua conformità a quello già trasmesso alle rappresentanze sindacali aziendali e ai consiglieri regionali di parità, ovvero, in mancanza, con attestazione della contestuale trasmissione ai soggetti sopraindicati</w:t>
            </w:r>
            <w:r w:rsidR="00E8774E">
              <w:rPr>
                <w:rFonts w:ascii="Arial" w:hAnsi="Arial" w:cs="Arial"/>
                <w:sz w:val="24"/>
                <w:szCs w:val="24"/>
              </w:rPr>
              <w:t>;</w:t>
            </w:r>
            <w:r w:rsidR="00A43D9B" w:rsidRPr="00E8774E">
              <w:rPr>
                <w:rFonts w:ascii="Arial" w:hAnsi="Arial" w:cs="Arial"/>
                <w:sz w:val="24"/>
                <w:szCs w:val="24"/>
              </w:rPr>
              <w:t xml:space="preserve"> </w:t>
            </w:r>
          </w:p>
          <w:p w14:paraId="368EA492" w14:textId="1FAECBA8" w:rsidR="001D608F" w:rsidRPr="00E8774E" w:rsidRDefault="00F90588"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d</w:t>
            </w:r>
            <w:r w:rsidR="001D608F" w:rsidRPr="00E8774E">
              <w:rPr>
                <w:rFonts w:ascii="Arial" w:hAnsi="Arial" w:cs="Arial"/>
                <w:sz w:val="24"/>
                <w:szCs w:val="24"/>
              </w:rPr>
              <w:t>ichiarazione</w:t>
            </w:r>
            <w:r w:rsidRPr="00E8774E">
              <w:rPr>
                <w:rFonts w:ascii="Arial" w:hAnsi="Arial" w:cs="Arial"/>
                <w:sz w:val="24"/>
                <w:szCs w:val="24"/>
              </w:rPr>
              <w:t>, da parte del concorrente,</w:t>
            </w:r>
            <w:r w:rsidR="001D608F" w:rsidRPr="00E8774E">
              <w:rPr>
                <w:rFonts w:ascii="Arial" w:hAnsi="Arial" w:cs="Arial"/>
                <w:sz w:val="24"/>
                <w:szCs w:val="24"/>
              </w:rPr>
              <w:t xml:space="preserve"> sul</w:t>
            </w:r>
            <w:r w:rsidRPr="00E8774E">
              <w:rPr>
                <w:rFonts w:ascii="Arial" w:hAnsi="Arial" w:cs="Arial"/>
                <w:sz w:val="24"/>
                <w:szCs w:val="24"/>
              </w:rPr>
              <w:t>l’assenza di</w:t>
            </w:r>
            <w:r w:rsidR="001D608F" w:rsidRPr="00E8774E">
              <w:rPr>
                <w:rFonts w:ascii="Arial" w:hAnsi="Arial" w:cs="Arial"/>
                <w:sz w:val="24"/>
                <w:szCs w:val="24"/>
              </w:rPr>
              <w:t xml:space="preserve"> doppio finanziamento</w:t>
            </w:r>
            <w:r w:rsidR="00AA7968" w:rsidRPr="00E8774E">
              <w:rPr>
                <w:rFonts w:ascii="Arial" w:hAnsi="Arial" w:cs="Arial"/>
                <w:sz w:val="24"/>
                <w:szCs w:val="24"/>
              </w:rPr>
              <w:t>;</w:t>
            </w:r>
          </w:p>
          <w:p w14:paraId="01628CF9" w14:textId="77777777" w:rsidR="003C1CB6" w:rsidRPr="00E8774E" w:rsidRDefault="00AB2CEA"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previsione della sanabilità con soccorso istruttorio</w:t>
            </w:r>
            <w:r w:rsidR="008F1E65" w:rsidRPr="00E8774E">
              <w:rPr>
                <w:rFonts w:ascii="Arial" w:hAnsi="Arial" w:cs="Arial"/>
                <w:sz w:val="24"/>
                <w:szCs w:val="24"/>
              </w:rPr>
              <w:t>,</w:t>
            </w:r>
            <w:r w:rsidRPr="00E8774E">
              <w:rPr>
                <w:rFonts w:ascii="Arial" w:hAnsi="Arial" w:cs="Arial"/>
                <w:sz w:val="24"/>
                <w:szCs w:val="24"/>
              </w:rPr>
              <w:t xml:space="preserve"> in caso di omessa presentazione dell’ultimo</w:t>
            </w:r>
            <w:r w:rsidR="00AB6756" w:rsidRPr="00E8774E">
              <w:rPr>
                <w:rFonts w:ascii="Arial" w:hAnsi="Arial" w:cs="Arial"/>
                <w:sz w:val="24"/>
                <w:szCs w:val="24"/>
              </w:rPr>
              <w:t xml:space="preserve"> rapporto sulla situazione del personale, </w:t>
            </w:r>
            <w:proofErr w:type="spellStart"/>
            <w:r w:rsidR="00AB6756" w:rsidRPr="00E8774E">
              <w:rPr>
                <w:rFonts w:ascii="Arial" w:hAnsi="Arial" w:cs="Arial"/>
                <w:sz w:val="24"/>
                <w:szCs w:val="24"/>
              </w:rPr>
              <w:t>purchè</w:t>
            </w:r>
            <w:proofErr w:type="spellEnd"/>
            <w:r w:rsidR="00AB6756" w:rsidRPr="00E8774E">
              <w:rPr>
                <w:rFonts w:ascii="Arial" w:hAnsi="Arial" w:cs="Arial"/>
                <w:sz w:val="24"/>
                <w:szCs w:val="24"/>
              </w:rPr>
              <w:t xml:space="preserve"> lo stesso si</w:t>
            </w:r>
            <w:r w:rsidR="00F71712" w:rsidRPr="00E8774E">
              <w:rPr>
                <w:rFonts w:ascii="Arial" w:hAnsi="Arial" w:cs="Arial"/>
                <w:sz w:val="24"/>
                <w:szCs w:val="24"/>
              </w:rPr>
              <w:t xml:space="preserve">a stato redatto e trasmesso in data anteriore al termine della presentazione delle offerte; </w:t>
            </w:r>
          </w:p>
          <w:p w14:paraId="33CECDE8" w14:textId="77777777" w:rsidR="003C1CB6" w:rsidRPr="00E8774E" w:rsidRDefault="00F71712"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 xml:space="preserve">eventuale dichiarazione, a pena d’esclusione, da parte del concorrente, di assicurare, in caso di aggiudicazione, una quota pari ad almeno il 30% (o inferiore) di occupazione giovanile e femminile; </w:t>
            </w:r>
          </w:p>
          <w:p w14:paraId="044AFE1A" w14:textId="77777777" w:rsidR="00833F79" w:rsidRPr="00E8774E" w:rsidRDefault="00F71712"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dichiarazione</w:t>
            </w:r>
            <w:r w:rsidR="008F1E65" w:rsidRPr="00E8774E">
              <w:rPr>
                <w:rFonts w:ascii="Arial" w:hAnsi="Arial" w:cs="Arial"/>
                <w:sz w:val="24"/>
                <w:szCs w:val="24"/>
              </w:rPr>
              <w:t>,</w:t>
            </w:r>
            <w:r w:rsidRPr="00E8774E">
              <w:rPr>
                <w:rFonts w:ascii="Arial" w:hAnsi="Arial" w:cs="Arial"/>
                <w:sz w:val="24"/>
                <w:szCs w:val="24"/>
              </w:rPr>
              <w:t xml:space="preserve"> da parte del concorrente, di aver assolto, al momento della presentazione dell’offerta, </w:t>
            </w:r>
            <w:r w:rsidR="001105CE" w:rsidRPr="00E8774E">
              <w:rPr>
                <w:rFonts w:ascii="Arial" w:hAnsi="Arial" w:cs="Arial"/>
                <w:sz w:val="24"/>
                <w:szCs w:val="24"/>
              </w:rPr>
              <w:t>a</w:t>
            </w:r>
            <w:r w:rsidRPr="00E8774E">
              <w:rPr>
                <w:rFonts w:ascii="Arial" w:hAnsi="Arial" w:cs="Arial"/>
                <w:sz w:val="24"/>
                <w:szCs w:val="24"/>
              </w:rPr>
              <w:t xml:space="preserve">gli obblighi di cui alla legge n. 68/99; </w:t>
            </w:r>
          </w:p>
          <w:p w14:paraId="5656C24D" w14:textId="02AD9B39" w:rsidR="003C1CB6" w:rsidRPr="00E8774E" w:rsidRDefault="00F71712"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dichiarazione, da parte del concorrente, dei dati identifi</w:t>
            </w:r>
            <w:r w:rsidR="009E2019" w:rsidRPr="00E8774E">
              <w:rPr>
                <w:rFonts w:ascii="Arial" w:hAnsi="Arial" w:cs="Arial"/>
                <w:sz w:val="24"/>
                <w:szCs w:val="24"/>
              </w:rPr>
              <w:t>c</w:t>
            </w:r>
            <w:r w:rsidRPr="00E8774E">
              <w:rPr>
                <w:rFonts w:ascii="Arial" w:hAnsi="Arial" w:cs="Arial"/>
                <w:sz w:val="24"/>
                <w:szCs w:val="24"/>
              </w:rPr>
              <w:t>ativi del</w:t>
            </w:r>
            <w:r w:rsidR="00AA7968" w:rsidRPr="00E8774E">
              <w:rPr>
                <w:rFonts w:ascii="Arial" w:hAnsi="Arial" w:cs="Arial"/>
                <w:sz w:val="24"/>
                <w:szCs w:val="24"/>
              </w:rPr>
              <w:t>/dei</w:t>
            </w:r>
            <w:r w:rsidRPr="00E8774E">
              <w:rPr>
                <w:rFonts w:ascii="Arial" w:hAnsi="Arial" w:cs="Arial"/>
                <w:sz w:val="24"/>
                <w:szCs w:val="24"/>
              </w:rPr>
              <w:t xml:space="preserve"> titolare</w:t>
            </w:r>
            <w:r w:rsidR="00AA7968" w:rsidRPr="00E8774E">
              <w:rPr>
                <w:rFonts w:ascii="Arial" w:hAnsi="Arial" w:cs="Arial"/>
                <w:sz w:val="24"/>
                <w:szCs w:val="24"/>
              </w:rPr>
              <w:t>/i</w:t>
            </w:r>
            <w:r w:rsidRPr="00E8774E">
              <w:rPr>
                <w:rFonts w:ascii="Arial" w:hAnsi="Arial" w:cs="Arial"/>
                <w:sz w:val="24"/>
                <w:szCs w:val="24"/>
              </w:rPr>
              <w:t xml:space="preserve"> effettivo</w:t>
            </w:r>
            <w:r w:rsidR="00AA7968" w:rsidRPr="00E8774E">
              <w:rPr>
                <w:rFonts w:ascii="Arial" w:hAnsi="Arial" w:cs="Arial"/>
                <w:sz w:val="24"/>
                <w:szCs w:val="24"/>
              </w:rPr>
              <w:t>/i dell’impresa ovvero di ciascuna impresa in caso di soggetto associato</w:t>
            </w:r>
            <w:r w:rsidRPr="00E8774E">
              <w:rPr>
                <w:rFonts w:ascii="Arial" w:hAnsi="Arial" w:cs="Arial"/>
                <w:sz w:val="24"/>
                <w:szCs w:val="24"/>
              </w:rPr>
              <w:t xml:space="preserve"> (Decreto MEF n. 55 dell’11/03/2022);</w:t>
            </w:r>
            <w:r w:rsidR="00E20B06" w:rsidRPr="00E8774E">
              <w:rPr>
                <w:rFonts w:ascii="Arial" w:hAnsi="Arial" w:cs="Arial"/>
                <w:sz w:val="24"/>
                <w:szCs w:val="24"/>
              </w:rPr>
              <w:t xml:space="preserve"> </w:t>
            </w:r>
          </w:p>
          <w:p w14:paraId="2803BB5F" w14:textId="77777777" w:rsidR="003C1CB6" w:rsidRPr="00E8774E" w:rsidRDefault="00E20B06"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 xml:space="preserve">dichiarazione, da parte del concorrente e del titolare effettivo, di assenza di conflitto di interessi; </w:t>
            </w:r>
          </w:p>
          <w:p w14:paraId="29FE61B2" w14:textId="77777777" w:rsidR="003C1CB6" w:rsidRPr="00E8774E" w:rsidRDefault="00E20B06"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 xml:space="preserve">previsione di esclusione dalla procedura di gara </w:t>
            </w:r>
            <w:r w:rsidR="009E2019" w:rsidRPr="00E8774E">
              <w:rPr>
                <w:rFonts w:ascii="Arial" w:hAnsi="Arial" w:cs="Arial"/>
                <w:sz w:val="24"/>
                <w:szCs w:val="24"/>
              </w:rPr>
              <w:t>degli operatori economici che occupano da 15 a 50 dipendenti, che</w:t>
            </w:r>
            <w:r w:rsidR="001105CE" w:rsidRPr="00E8774E">
              <w:rPr>
                <w:rFonts w:ascii="Arial" w:hAnsi="Arial" w:cs="Arial"/>
                <w:sz w:val="24"/>
                <w:szCs w:val="24"/>
              </w:rPr>
              <w:t>,</w:t>
            </w:r>
            <w:r w:rsidR="009E2019" w:rsidRPr="00E8774E">
              <w:rPr>
                <w:rFonts w:ascii="Arial" w:hAnsi="Arial" w:cs="Arial"/>
                <w:sz w:val="24"/>
                <w:szCs w:val="24"/>
              </w:rPr>
              <w:t xml:space="preserve"> nei dodici mesi precedenti al termine di presentazione dell’offerta</w:t>
            </w:r>
            <w:r w:rsidR="001105CE" w:rsidRPr="00E8774E">
              <w:rPr>
                <w:rFonts w:ascii="Arial" w:hAnsi="Arial" w:cs="Arial"/>
                <w:sz w:val="24"/>
                <w:szCs w:val="24"/>
              </w:rPr>
              <w:t>,</w:t>
            </w:r>
            <w:r w:rsidR="009E2019" w:rsidRPr="00E8774E">
              <w:rPr>
                <w:rFonts w:ascii="Arial" w:hAnsi="Arial" w:cs="Arial"/>
                <w:sz w:val="24"/>
                <w:szCs w:val="24"/>
              </w:rPr>
              <w:t xml:space="preserve"> hanno omesso di produrre alla stazione appaltante di un precedente contratto d’appalto</w:t>
            </w:r>
            <w:r w:rsidR="001105CE" w:rsidRPr="00E8774E">
              <w:rPr>
                <w:rFonts w:ascii="Arial" w:hAnsi="Arial" w:cs="Arial"/>
                <w:sz w:val="24"/>
                <w:szCs w:val="24"/>
              </w:rPr>
              <w:t>,</w:t>
            </w:r>
            <w:r w:rsidR="009E2019" w:rsidRPr="00E8774E">
              <w:rPr>
                <w:rFonts w:ascii="Arial" w:hAnsi="Arial" w:cs="Arial"/>
                <w:sz w:val="24"/>
                <w:szCs w:val="24"/>
              </w:rPr>
              <w:t xml:space="preserve"> finanziato in tutto o in parte con i fondi del PNRR o del PNC, la relazione </w:t>
            </w:r>
            <w:r w:rsidR="001105CE" w:rsidRPr="00E8774E">
              <w:rPr>
                <w:rFonts w:ascii="Arial" w:hAnsi="Arial" w:cs="Arial"/>
                <w:sz w:val="24"/>
                <w:szCs w:val="24"/>
              </w:rPr>
              <w:t xml:space="preserve">di genere </w:t>
            </w:r>
            <w:r w:rsidR="009E2019" w:rsidRPr="00E8774E">
              <w:rPr>
                <w:rFonts w:ascii="Arial" w:hAnsi="Arial" w:cs="Arial"/>
                <w:sz w:val="24"/>
                <w:szCs w:val="24"/>
              </w:rPr>
              <w:t>sulla situazione del personale;</w:t>
            </w:r>
          </w:p>
          <w:p w14:paraId="1CA89B4B" w14:textId="77777777" w:rsidR="00AA7968" w:rsidRPr="00E8774E" w:rsidRDefault="009E2019"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dichiarazione, da parte del concorrente, sul numero di dipendenti impiegati alla data di presentazione dell’offerta</w:t>
            </w:r>
            <w:r w:rsidR="00AA7968" w:rsidRPr="00E8774E">
              <w:rPr>
                <w:rFonts w:ascii="Arial" w:hAnsi="Arial" w:cs="Arial"/>
                <w:sz w:val="24"/>
                <w:szCs w:val="24"/>
              </w:rPr>
              <w:t>/ della domanda</w:t>
            </w:r>
            <w:r w:rsidRPr="00E8774E">
              <w:rPr>
                <w:rFonts w:ascii="Arial" w:hAnsi="Arial" w:cs="Arial"/>
                <w:sz w:val="24"/>
                <w:szCs w:val="24"/>
              </w:rPr>
              <w:t xml:space="preserve">; </w:t>
            </w:r>
          </w:p>
          <w:p w14:paraId="6FF40B33" w14:textId="7A57FD98" w:rsidR="003C1CB6" w:rsidRPr="00E8774E" w:rsidRDefault="009E2019"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dichiarazione, da parte del concorrente, di non essere incorso nell’interdizione automatica per inadempimento dell’obbligo di consegnare alla stazione appaltante, entro sei mesi dalla conclusione del contratto, la relazione di genere di cui all’art. 47, comma 3 del D.L. 77/2021;</w:t>
            </w:r>
            <w:r w:rsidR="001D608F" w:rsidRPr="00E8774E">
              <w:rPr>
                <w:rFonts w:ascii="Arial" w:hAnsi="Arial" w:cs="Arial"/>
                <w:sz w:val="24"/>
                <w:szCs w:val="24"/>
              </w:rPr>
              <w:t xml:space="preserve"> </w:t>
            </w:r>
          </w:p>
          <w:p w14:paraId="437D28A3" w14:textId="25515949" w:rsidR="003C1CB6" w:rsidRPr="00E8774E" w:rsidRDefault="009E2019"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 xml:space="preserve">previsione, tra i criteri premiali, dei criteri orientati a promuovere l’imprenditoria giovanile, l’inclusione lavorativa delle persone disabili, la parità di genere e l’assunzione di giovani, con età inferiore a 36 anni, e di donne, </w:t>
            </w:r>
            <w:r w:rsidR="001105CE" w:rsidRPr="00E8774E">
              <w:rPr>
                <w:rFonts w:ascii="Arial" w:hAnsi="Arial" w:cs="Arial"/>
                <w:sz w:val="24"/>
                <w:szCs w:val="24"/>
              </w:rPr>
              <w:t xml:space="preserve">di </w:t>
            </w:r>
            <w:r w:rsidRPr="00E8774E">
              <w:rPr>
                <w:rFonts w:ascii="Arial" w:hAnsi="Arial" w:cs="Arial"/>
                <w:sz w:val="24"/>
                <w:szCs w:val="24"/>
              </w:rPr>
              <w:t>uno o più dei criteri previsti all’art. 47, comma 5 D.L. 77/2021, l</w:t>
            </w:r>
            <w:r w:rsidR="00D12A59" w:rsidRPr="00E8774E">
              <w:rPr>
                <w:rFonts w:ascii="Arial" w:hAnsi="Arial" w:cs="Arial"/>
                <w:sz w:val="24"/>
                <w:szCs w:val="24"/>
              </w:rPr>
              <w:t>’eventuale</w:t>
            </w:r>
            <w:r w:rsidRPr="00E8774E">
              <w:rPr>
                <w:rFonts w:ascii="Arial" w:hAnsi="Arial" w:cs="Arial"/>
                <w:sz w:val="24"/>
                <w:szCs w:val="24"/>
              </w:rPr>
              <w:t xml:space="preserve"> criterio</w:t>
            </w:r>
            <w:r w:rsidR="00D12A59" w:rsidRPr="00E8774E">
              <w:rPr>
                <w:rFonts w:ascii="Arial" w:hAnsi="Arial" w:cs="Arial"/>
                <w:sz w:val="24"/>
                <w:szCs w:val="24"/>
              </w:rPr>
              <w:t>,</w:t>
            </w:r>
            <w:r w:rsidRPr="00E8774E">
              <w:rPr>
                <w:rFonts w:ascii="Arial" w:hAnsi="Arial" w:cs="Arial"/>
                <w:sz w:val="24"/>
                <w:szCs w:val="24"/>
              </w:rPr>
              <w:t xml:space="preserve"> che prevede</w:t>
            </w:r>
            <w:r w:rsidR="00292CCA" w:rsidRPr="00E8774E">
              <w:rPr>
                <w:rFonts w:ascii="Arial" w:hAnsi="Arial" w:cs="Arial"/>
                <w:sz w:val="24"/>
                <w:szCs w:val="24"/>
              </w:rPr>
              <w:t>,</w:t>
            </w:r>
            <w:r w:rsidRPr="00E8774E">
              <w:rPr>
                <w:rFonts w:ascii="Arial" w:hAnsi="Arial" w:cs="Arial"/>
                <w:sz w:val="24"/>
                <w:szCs w:val="24"/>
              </w:rPr>
              <w:t xml:space="preserve"> </w:t>
            </w:r>
            <w:r w:rsidR="00D12A59" w:rsidRPr="00E8774E">
              <w:rPr>
                <w:rFonts w:ascii="Arial" w:hAnsi="Arial" w:cs="Arial"/>
                <w:sz w:val="24"/>
                <w:szCs w:val="24"/>
              </w:rPr>
              <w:t xml:space="preserve">per le gare di lavori, </w:t>
            </w:r>
            <w:r w:rsidRPr="00E8774E">
              <w:rPr>
                <w:rFonts w:ascii="Arial" w:hAnsi="Arial" w:cs="Arial"/>
                <w:sz w:val="24"/>
                <w:szCs w:val="24"/>
              </w:rPr>
              <w:t xml:space="preserve">l’uso nella progettazione di metodi e strumenti elettronici specifici di cui all’art. 23, comma 1 lett. </w:t>
            </w:r>
            <w:r w:rsidR="00D12A59" w:rsidRPr="00E8774E">
              <w:rPr>
                <w:rFonts w:ascii="Arial" w:hAnsi="Arial" w:cs="Arial"/>
                <w:sz w:val="24"/>
                <w:szCs w:val="24"/>
              </w:rPr>
              <w:t>h</w:t>
            </w:r>
            <w:r w:rsidRPr="00E8774E">
              <w:rPr>
                <w:rFonts w:ascii="Arial" w:hAnsi="Arial" w:cs="Arial"/>
                <w:sz w:val="24"/>
                <w:szCs w:val="24"/>
              </w:rPr>
              <w:t>) del D. Lgs. n. 50/2016</w:t>
            </w:r>
            <w:r w:rsidR="00525793" w:rsidRPr="00E8774E">
              <w:rPr>
                <w:rFonts w:ascii="Arial" w:hAnsi="Arial" w:cs="Arial"/>
                <w:sz w:val="24"/>
                <w:szCs w:val="24"/>
              </w:rPr>
              <w:t xml:space="preserve">; </w:t>
            </w:r>
            <w:r w:rsidRPr="00E8774E">
              <w:rPr>
                <w:rFonts w:ascii="Arial" w:hAnsi="Arial" w:cs="Arial"/>
                <w:sz w:val="24"/>
                <w:szCs w:val="24"/>
              </w:rPr>
              <w:t xml:space="preserve"> </w:t>
            </w:r>
          </w:p>
          <w:p w14:paraId="3C4659E1" w14:textId="78D4A6F6" w:rsidR="003C1CB6" w:rsidRPr="00E8774E" w:rsidRDefault="00525793" w:rsidP="00867EA5">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 xml:space="preserve">previsione, tra le condizioni di esecuzione, dell’obbligo, per gli operatori che occupano da 15 a 50 dipendenti, di consegnare entro 6 mesi dalla conclusione del contratto, una relazione di genere sulla situazione del personale maschile e femminile, trasmettendola alle rappresentanze sindacali aziendali e ai consiglieri regionali di parità, nonché </w:t>
            </w:r>
            <w:r w:rsidR="00CC51FB" w:rsidRPr="00E8774E">
              <w:rPr>
                <w:rFonts w:ascii="Arial" w:hAnsi="Arial" w:cs="Arial"/>
                <w:sz w:val="24"/>
                <w:szCs w:val="24"/>
              </w:rPr>
              <w:t>una</w:t>
            </w:r>
            <w:r w:rsidRPr="00E8774E">
              <w:rPr>
                <w:rFonts w:ascii="Arial" w:hAnsi="Arial" w:cs="Arial"/>
                <w:sz w:val="24"/>
                <w:szCs w:val="24"/>
              </w:rPr>
              <w:t xml:space="preserve"> relazione</w:t>
            </w:r>
            <w:r w:rsidR="00744110" w:rsidRPr="00E8774E">
              <w:rPr>
                <w:rFonts w:ascii="Arial" w:hAnsi="Arial" w:cs="Arial"/>
                <w:sz w:val="24"/>
                <w:szCs w:val="24"/>
              </w:rPr>
              <w:t xml:space="preserve"> </w:t>
            </w:r>
            <w:r w:rsidRPr="00E8774E">
              <w:rPr>
                <w:rFonts w:ascii="Arial" w:hAnsi="Arial" w:cs="Arial"/>
                <w:sz w:val="24"/>
                <w:szCs w:val="24"/>
              </w:rPr>
              <w:t xml:space="preserve">di avvenuto assolvimento agli obblighi </w:t>
            </w:r>
            <w:r w:rsidR="00CC51FB" w:rsidRPr="00E8774E">
              <w:rPr>
                <w:rFonts w:ascii="Arial" w:hAnsi="Arial" w:cs="Arial"/>
                <w:sz w:val="24"/>
                <w:szCs w:val="24"/>
              </w:rPr>
              <w:t xml:space="preserve">di cui alla legge n. 68/99 </w:t>
            </w:r>
            <w:r w:rsidRPr="00E8774E">
              <w:rPr>
                <w:rFonts w:ascii="Arial" w:hAnsi="Arial" w:cs="Arial"/>
                <w:sz w:val="24"/>
                <w:szCs w:val="24"/>
              </w:rPr>
              <w:t>e di eventuali sanzioni e provvedimenti disposti nel triennio precedente la data di scadenza di presentazione delle offerte, trasmettendo la stessa alle rappresentan</w:t>
            </w:r>
            <w:r w:rsidR="00D12A59" w:rsidRPr="00E8774E">
              <w:rPr>
                <w:rFonts w:ascii="Arial" w:hAnsi="Arial" w:cs="Arial"/>
                <w:sz w:val="24"/>
                <w:szCs w:val="24"/>
              </w:rPr>
              <w:t xml:space="preserve">ze </w:t>
            </w:r>
            <w:r w:rsidRPr="00E8774E">
              <w:rPr>
                <w:rFonts w:ascii="Arial" w:hAnsi="Arial" w:cs="Arial"/>
                <w:sz w:val="24"/>
                <w:szCs w:val="24"/>
              </w:rPr>
              <w:t>sindacali</w:t>
            </w:r>
            <w:r w:rsidR="00D12A59" w:rsidRPr="00E8774E">
              <w:rPr>
                <w:rFonts w:ascii="Arial" w:hAnsi="Arial" w:cs="Arial"/>
                <w:sz w:val="24"/>
                <w:szCs w:val="24"/>
              </w:rPr>
              <w:t xml:space="preserve"> aziendali;</w:t>
            </w:r>
            <w:r w:rsidRPr="00E8774E">
              <w:rPr>
                <w:rFonts w:ascii="Arial" w:hAnsi="Arial" w:cs="Arial"/>
                <w:sz w:val="24"/>
                <w:szCs w:val="24"/>
              </w:rPr>
              <w:t xml:space="preserve"> </w:t>
            </w:r>
          </w:p>
          <w:p w14:paraId="19DFC9DA" w14:textId="3F68FB83" w:rsidR="0042796C" w:rsidRPr="00E8774E" w:rsidRDefault="00525793" w:rsidP="00E8774E">
            <w:pPr>
              <w:pStyle w:val="Paragrafoelenco"/>
              <w:numPr>
                <w:ilvl w:val="0"/>
                <w:numId w:val="9"/>
              </w:numPr>
              <w:spacing w:before="240"/>
              <w:jc w:val="both"/>
              <w:rPr>
                <w:rFonts w:ascii="Arial" w:hAnsi="Arial" w:cs="Arial"/>
                <w:sz w:val="24"/>
                <w:szCs w:val="24"/>
              </w:rPr>
            </w:pPr>
            <w:r w:rsidRPr="00E8774E">
              <w:rPr>
                <w:rFonts w:ascii="Arial" w:hAnsi="Arial" w:cs="Arial"/>
                <w:sz w:val="24"/>
                <w:szCs w:val="24"/>
              </w:rPr>
              <w:t>clausola del panto</w:t>
            </w:r>
            <w:r w:rsidR="00D12A59" w:rsidRPr="00E8774E">
              <w:rPr>
                <w:rFonts w:ascii="Arial" w:hAnsi="Arial" w:cs="Arial"/>
                <w:sz w:val="24"/>
                <w:szCs w:val="24"/>
              </w:rPr>
              <w:t>u</w:t>
            </w:r>
            <w:r w:rsidRPr="00E8774E">
              <w:rPr>
                <w:rFonts w:ascii="Arial" w:hAnsi="Arial" w:cs="Arial"/>
                <w:sz w:val="24"/>
                <w:szCs w:val="24"/>
              </w:rPr>
              <w:t>flage e patto di integrità</w:t>
            </w:r>
            <w:r w:rsidR="00E8774E">
              <w:rPr>
                <w:rFonts w:ascii="Arial" w:hAnsi="Arial" w:cs="Arial"/>
                <w:sz w:val="24"/>
                <w:szCs w:val="24"/>
              </w:rPr>
              <w:t>.</w:t>
            </w:r>
            <w:r w:rsidRPr="00E8774E">
              <w:rPr>
                <w:rFonts w:ascii="Arial" w:hAnsi="Arial" w:cs="Arial"/>
                <w:sz w:val="24"/>
                <w:szCs w:val="24"/>
              </w:rPr>
              <w:t xml:space="preserve"> </w:t>
            </w:r>
          </w:p>
        </w:tc>
        <w:tc>
          <w:tcPr>
            <w:tcW w:w="2694" w:type="dxa"/>
          </w:tcPr>
          <w:p w14:paraId="54641227" w14:textId="3B30E646" w:rsidR="000D0377" w:rsidRPr="00E8774E" w:rsidRDefault="000D0377" w:rsidP="00867EA5">
            <w:pPr>
              <w:spacing w:before="240"/>
              <w:jc w:val="both"/>
              <w:rPr>
                <w:rFonts w:ascii="Arial" w:hAnsi="Arial" w:cs="Arial"/>
                <w:sz w:val="24"/>
                <w:szCs w:val="24"/>
              </w:rPr>
            </w:pPr>
            <w:r w:rsidRPr="00E8774E">
              <w:rPr>
                <w:rFonts w:ascii="Arial" w:hAnsi="Arial" w:cs="Arial"/>
                <w:sz w:val="24"/>
                <w:szCs w:val="24"/>
              </w:rPr>
              <w:lastRenderedPageBreak/>
              <w:t>Artt. 47, 48 e 50 D.L. n. 77/2021 convertito in legge n. 108/2021</w:t>
            </w:r>
            <w:r w:rsidR="00091B32" w:rsidRPr="00E8774E">
              <w:rPr>
                <w:rFonts w:ascii="Arial" w:hAnsi="Arial" w:cs="Arial"/>
                <w:sz w:val="24"/>
                <w:szCs w:val="24"/>
              </w:rPr>
              <w:t>;</w:t>
            </w:r>
          </w:p>
          <w:p w14:paraId="11A837E4" w14:textId="77777777" w:rsidR="00091B32" w:rsidRPr="00E8774E" w:rsidRDefault="000D0377" w:rsidP="00867EA5">
            <w:pPr>
              <w:spacing w:before="240"/>
              <w:jc w:val="both"/>
              <w:rPr>
                <w:rFonts w:ascii="Arial" w:hAnsi="Arial" w:cs="Arial"/>
                <w:sz w:val="24"/>
                <w:szCs w:val="24"/>
              </w:rPr>
            </w:pPr>
            <w:r w:rsidRPr="00E8774E">
              <w:rPr>
                <w:rFonts w:ascii="Arial" w:hAnsi="Arial" w:cs="Arial"/>
                <w:sz w:val="24"/>
                <w:szCs w:val="24"/>
              </w:rPr>
              <w:t xml:space="preserve">Linee guida </w:t>
            </w:r>
            <w:proofErr w:type="spellStart"/>
            <w:r w:rsidRPr="00E8774E">
              <w:rPr>
                <w:rFonts w:ascii="Arial" w:hAnsi="Arial" w:cs="Arial"/>
                <w:sz w:val="24"/>
                <w:szCs w:val="24"/>
              </w:rPr>
              <w:t>PdC</w:t>
            </w:r>
            <w:proofErr w:type="spellEnd"/>
            <w:r w:rsidRPr="00E8774E">
              <w:rPr>
                <w:rFonts w:ascii="Arial" w:hAnsi="Arial" w:cs="Arial"/>
                <w:sz w:val="24"/>
                <w:szCs w:val="24"/>
              </w:rPr>
              <w:t xml:space="preserve"> Decreto 7/12/202</w:t>
            </w:r>
            <w:r w:rsidR="00091B32" w:rsidRPr="00E8774E">
              <w:rPr>
                <w:rFonts w:ascii="Arial" w:hAnsi="Arial" w:cs="Arial"/>
                <w:sz w:val="24"/>
                <w:szCs w:val="24"/>
              </w:rPr>
              <w:t>1;</w:t>
            </w:r>
          </w:p>
          <w:p w14:paraId="6FC50CD6" w14:textId="1993ACD7" w:rsidR="000D0377" w:rsidRPr="00E8774E" w:rsidRDefault="000D0377" w:rsidP="00867EA5">
            <w:pPr>
              <w:spacing w:before="240"/>
              <w:jc w:val="both"/>
              <w:rPr>
                <w:rFonts w:ascii="Arial" w:hAnsi="Arial" w:cs="Arial"/>
                <w:sz w:val="24"/>
                <w:szCs w:val="24"/>
              </w:rPr>
            </w:pPr>
            <w:r w:rsidRPr="00E8774E">
              <w:rPr>
                <w:rFonts w:ascii="Arial" w:hAnsi="Arial" w:cs="Arial"/>
                <w:sz w:val="24"/>
                <w:szCs w:val="24"/>
              </w:rPr>
              <w:t xml:space="preserve">Linee guida </w:t>
            </w:r>
            <w:r w:rsidR="00091B32" w:rsidRPr="00E8774E">
              <w:rPr>
                <w:rFonts w:ascii="Arial" w:hAnsi="Arial" w:cs="Arial"/>
                <w:sz w:val="24"/>
                <w:szCs w:val="24"/>
              </w:rPr>
              <w:t>MEF</w:t>
            </w:r>
            <w:r w:rsidR="00292CCA" w:rsidRPr="00E8774E">
              <w:rPr>
                <w:rFonts w:ascii="Arial" w:hAnsi="Arial" w:cs="Arial"/>
                <w:sz w:val="24"/>
                <w:szCs w:val="24"/>
              </w:rPr>
              <w:t xml:space="preserve"> </w:t>
            </w:r>
            <w:r w:rsidRPr="00E8774E">
              <w:rPr>
                <w:rFonts w:ascii="Arial" w:hAnsi="Arial" w:cs="Arial"/>
                <w:sz w:val="24"/>
                <w:szCs w:val="24"/>
              </w:rPr>
              <w:t>per lo svolgimento delle attività di controllo e rendicontazione degli interventi PNRR di competenza delle Amministrazioni centrali e dei soggetti attuatori (</w:t>
            </w:r>
            <w:proofErr w:type="spellStart"/>
            <w:r w:rsidRPr="00E8774E">
              <w:rPr>
                <w:rFonts w:ascii="Arial" w:hAnsi="Arial" w:cs="Arial"/>
                <w:sz w:val="24"/>
                <w:szCs w:val="24"/>
              </w:rPr>
              <w:t>vers</w:t>
            </w:r>
            <w:proofErr w:type="spellEnd"/>
            <w:r w:rsidRPr="00E8774E">
              <w:rPr>
                <w:rFonts w:ascii="Arial" w:hAnsi="Arial" w:cs="Arial"/>
                <w:sz w:val="24"/>
                <w:szCs w:val="24"/>
              </w:rPr>
              <w:t>. Agosto 2022) (Linee guida MEF)</w:t>
            </w:r>
            <w:r w:rsidR="00091B32" w:rsidRPr="00E8774E">
              <w:rPr>
                <w:rFonts w:ascii="Arial" w:hAnsi="Arial" w:cs="Arial"/>
                <w:sz w:val="24"/>
                <w:szCs w:val="24"/>
              </w:rPr>
              <w:t>;</w:t>
            </w:r>
          </w:p>
          <w:p w14:paraId="515A6B1A" w14:textId="2396E4D0" w:rsidR="003253C7" w:rsidRPr="00E8774E" w:rsidRDefault="003253C7" w:rsidP="00867EA5">
            <w:pPr>
              <w:spacing w:before="240"/>
              <w:jc w:val="both"/>
              <w:rPr>
                <w:rFonts w:ascii="Arial" w:hAnsi="Arial" w:cs="Arial"/>
                <w:sz w:val="24"/>
                <w:szCs w:val="24"/>
              </w:rPr>
            </w:pPr>
            <w:r w:rsidRPr="00E8774E">
              <w:rPr>
                <w:rFonts w:ascii="Arial" w:hAnsi="Arial" w:cs="Arial"/>
                <w:sz w:val="24"/>
                <w:szCs w:val="24"/>
              </w:rPr>
              <w:t>art. 34 del Regolamento (UE) 2021/241</w:t>
            </w:r>
            <w:r w:rsidR="00DA401C" w:rsidRPr="00E8774E">
              <w:rPr>
                <w:rFonts w:ascii="Arial" w:hAnsi="Arial" w:cs="Arial"/>
                <w:sz w:val="24"/>
                <w:szCs w:val="24"/>
              </w:rPr>
              <w:t>;</w:t>
            </w:r>
          </w:p>
          <w:p w14:paraId="63C1CE2B" w14:textId="72B9E339" w:rsidR="000D0377" w:rsidRPr="00E8774E" w:rsidRDefault="000D0377" w:rsidP="00867EA5">
            <w:pPr>
              <w:spacing w:before="240"/>
              <w:jc w:val="both"/>
              <w:rPr>
                <w:rFonts w:ascii="Arial" w:hAnsi="Arial" w:cs="Arial"/>
                <w:sz w:val="24"/>
                <w:szCs w:val="24"/>
              </w:rPr>
            </w:pPr>
            <w:r w:rsidRPr="00E8774E">
              <w:rPr>
                <w:rFonts w:ascii="Arial" w:hAnsi="Arial" w:cs="Arial"/>
                <w:sz w:val="24"/>
                <w:szCs w:val="24"/>
              </w:rPr>
              <w:t xml:space="preserve">Linee guida per la rendicontazione destinate ai </w:t>
            </w:r>
            <w:r w:rsidR="00091B32" w:rsidRPr="00E8774E">
              <w:rPr>
                <w:rFonts w:ascii="Arial" w:hAnsi="Arial" w:cs="Arial"/>
                <w:sz w:val="24"/>
                <w:szCs w:val="24"/>
              </w:rPr>
              <w:t>S</w:t>
            </w:r>
            <w:r w:rsidRPr="00E8774E">
              <w:rPr>
                <w:rFonts w:ascii="Arial" w:hAnsi="Arial" w:cs="Arial"/>
                <w:sz w:val="24"/>
                <w:szCs w:val="24"/>
              </w:rPr>
              <w:t>oggetti attuatori delle iniziative di sistema di missione 4 componente 2 (</w:t>
            </w:r>
            <w:proofErr w:type="spellStart"/>
            <w:r w:rsidR="00091B32" w:rsidRPr="00E8774E">
              <w:rPr>
                <w:rFonts w:ascii="Arial" w:hAnsi="Arial" w:cs="Arial"/>
                <w:sz w:val="24"/>
                <w:szCs w:val="24"/>
              </w:rPr>
              <w:t>v</w:t>
            </w:r>
            <w:r w:rsidRPr="00E8774E">
              <w:rPr>
                <w:rFonts w:ascii="Arial" w:hAnsi="Arial" w:cs="Arial"/>
                <w:sz w:val="24"/>
                <w:szCs w:val="24"/>
              </w:rPr>
              <w:t>ers</w:t>
            </w:r>
            <w:proofErr w:type="spellEnd"/>
            <w:r w:rsidRPr="00E8774E">
              <w:rPr>
                <w:rFonts w:ascii="Arial" w:hAnsi="Arial" w:cs="Arial"/>
                <w:sz w:val="24"/>
                <w:szCs w:val="24"/>
              </w:rPr>
              <w:t xml:space="preserve">. </w:t>
            </w:r>
            <w:r w:rsidR="00091B32" w:rsidRPr="00E8774E">
              <w:rPr>
                <w:rFonts w:ascii="Arial" w:hAnsi="Arial" w:cs="Arial"/>
                <w:sz w:val="24"/>
                <w:szCs w:val="24"/>
              </w:rPr>
              <w:t>d</w:t>
            </w:r>
            <w:r w:rsidRPr="00E8774E">
              <w:rPr>
                <w:rFonts w:ascii="Arial" w:hAnsi="Arial" w:cs="Arial"/>
                <w:sz w:val="24"/>
                <w:szCs w:val="24"/>
              </w:rPr>
              <w:t>el 10/10/2022) del MUR (Linee guida MUR</w:t>
            </w:r>
            <w:r w:rsidR="00091B32" w:rsidRPr="00E8774E">
              <w:rPr>
                <w:rFonts w:ascii="Arial" w:hAnsi="Arial" w:cs="Arial"/>
                <w:sz w:val="24"/>
                <w:szCs w:val="24"/>
              </w:rPr>
              <w:t xml:space="preserve"> 2</w:t>
            </w:r>
            <w:r w:rsidRPr="00E8774E">
              <w:rPr>
                <w:rFonts w:ascii="Arial" w:hAnsi="Arial" w:cs="Arial"/>
                <w:sz w:val="24"/>
                <w:szCs w:val="24"/>
              </w:rPr>
              <w:t>)</w:t>
            </w:r>
            <w:r w:rsidR="00DA401C" w:rsidRPr="00E8774E">
              <w:rPr>
                <w:rFonts w:ascii="Arial" w:hAnsi="Arial" w:cs="Arial"/>
                <w:sz w:val="24"/>
                <w:szCs w:val="24"/>
              </w:rPr>
              <w:t>;</w:t>
            </w:r>
          </w:p>
          <w:p w14:paraId="697212CE" w14:textId="7C2C7517" w:rsidR="00AB2CEA" w:rsidRPr="00E8774E" w:rsidRDefault="00081B0B" w:rsidP="00867EA5">
            <w:pPr>
              <w:spacing w:before="240"/>
              <w:jc w:val="both"/>
              <w:rPr>
                <w:rFonts w:ascii="Arial" w:hAnsi="Arial" w:cs="Arial"/>
                <w:sz w:val="24"/>
                <w:szCs w:val="24"/>
              </w:rPr>
            </w:pPr>
            <w:r w:rsidRPr="00E8774E">
              <w:rPr>
                <w:rFonts w:ascii="Arial" w:hAnsi="Arial" w:cs="Arial"/>
                <w:sz w:val="24"/>
                <w:szCs w:val="24"/>
              </w:rPr>
              <w:t xml:space="preserve">Bando tipo 1/2023 ANAC approvato dal Consiglio dell’Autorità </w:t>
            </w:r>
            <w:r w:rsidRPr="00E8774E">
              <w:rPr>
                <w:rFonts w:ascii="Arial" w:hAnsi="Arial" w:cs="Arial"/>
                <w:sz w:val="24"/>
                <w:szCs w:val="24"/>
              </w:rPr>
              <w:lastRenderedPageBreak/>
              <w:t>con delibera n. 309 del 27 giugno 2023;</w:t>
            </w:r>
          </w:p>
          <w:p w14:paraId="5114D5EF" w14:textId="0209477C" w:rsidR="00AB2CEA" w:rsidRPr="00E8774E" w:rsidRDefault="00AB2CEA" w:rsidP="00867EA5">
            <w:pPr>
              <w:spacing w:before="240"/>
              <w:jc w:val="both"/>
              <w:rPr>
                <w:rFonts w:ascii="Arial" w:hAnsi="Arial" w:cs="Arial"/>
                <w:sz w:val="24"/>
                <w:szCs w:val="24"/>
              </w:rPr>
            </w:pPr>
            <w:r w:rsidRPr="00E8774E">
              <w:rPr>
                <w:rFonts w:ascii="Arial" w:hAnsi="Arial" w:cs="Arial"/>
                <w:sz w:val="24"/>
                <w:szCs w:val="24"/>
              </w:rPr>
              <w:t xml:space="preserve">Artt. 47 e 48 D.L. 77/2021 </w:t>
            </w:r>
            <w:proofErr w:type="spellStart"/>
            <w:r w:rsidRPr="00E8774E">
              <w:rPr>
                <w:rFonts w:ascii="Arial" w:hAnsi="Arial" w:cs="Arial"/>
                <w:sz w:val="24"/>
                <w:szCs w:val="24"/>
              </w:rPr>
              <w:t>conv</w:t>
            </w:r>
            <w:proofErr w:type="spellEnd"/>
            <w:r w:rsidRPr="00E8774E">
              <w:rPr>
                <w:rFonts w:ascii="Arial" w:hAnsi="Arial" w:cs="Arial"/>
                <w:sz w:val="24"/>
                <w:szCs w:val="24"/>
              </w:rPr>
              <w:t xml:space="preserve">. </w:t>
            </w:r>
            <w:r w:rsidR="00091B32" w:rsidRPr="00E8774E">
              <w:rPr>
                <w:rFonts w:ascii="Arial" w:hAnsi="Arial" w:cs="Arial"/>
                <w:sz w:val="24"/>
                <w:szCs w:val="24"/>
              </w:rPr>
              <w:t>i</w:t>
            </w:r>
            <w:r w:rsidRPr="00E8774E">
              <w:rPr>
                <w:rFonts w:ascii="Arial" w:hAnsi="Arial" w:cs="Arial"/>
                <w:sz w:val="24"/>
                <w:szCs w:val="24"/>
              </w:rPr>
              <w:t>n legge 108/2021;</w:t>
            </w:r>
          </w:p>
          <w:p w14:paraId="53CAE10F" w14:textId="77777777" w:rsidR="00AB2CEA" w:rsidRPr="00E8774E" w:rsidRDefault="00AB2CEA" w:rsidP="00867EA5">
            <w:pPr>
              <w:spacing w:before="240"/>
              <w:jc w:val="both"/>
              <w:rPr>
                <w:rFonts w:ascii="Arial" w:hAnsi="Arial" w:cs="Arial"/>
                <w:sz w:val="24"/>
                <w:szCs w:val="24"/>
              </w:rPr>
            </w:pPr>
            <w:r w:rsidRPr="00E8774E">
              <w:rPr>
                <w:rFonts w:ascii="Arial" w:hAnsi="Arial" w:cs="Arial"/>
                <w:sz w:val="24"/>
                <w:szCs w:val="24"/>
              </w:rPr>
              <w:t xml:space="preserve">Linee guida </w:t>
            </w:r>
            <w:proofErr w:type="spellStart"/>
            <w:r w:rsidRPr="00E8774E">
              <w:rPr>
                <w:rFonts w:ascii="Arial" w:hAnsi="Arial" w:cs="Arial"/>
                <w:sz w:val="24"/>
                <w:szCs w:val="24"/>
              </w:rPr>
              <w:t>PdC</w:t>
            </w:r>
            <w:proofErr w:type="spellEnd"/>
            <w:r w:rsidRPr="00E8774E">
              <w:rPr>
                <w:rFonts w:ascii="Arial" w:hAnsi="Arial" w:cs="Arial"/>
                <w:sz w:val="24"/>
                <w:szCs w:val="24"/>
              </w:rPr>
              <w:t xml:space="preserve"> Decreto 7/12/2021;</w:t>
            </w:r>
          </w:p>
          <w:p w14:paraId="1460DD36" w14:textId="77777777" w:rsidR="00AB2CEA" w:rsidRPr="00E8774E" w:rsidRDefault="00AB2CEA" w:rsidP="00867EA5">
            <w:pPr>
              <w:spacing w:before="240"/>
              <w:jc w:val="both"/>
              <w:rPr>
                <w:rFonts w:ascii="Arial" w:hAnsi="Arial" w:cs="Arial"/>
                <w:sz w:val="24"/>
                <w:szCs w:val="24"/>
              </w:rPr>
            </w:pPr>
            <w:r w:rsidRPr="00E8774E">
              <w:rPr>
                <w:rFonts w:ascii="Arial" w:hAnsi="Arial" w:cs="Arial"/>
                <w:sz w:val="24"/>
                <w:szCs w:val="24"/>
              </w:rPr>
              <w:t>Linee guida MEF;</w:t>
            </w:r>
          </w:p>
          <w:p w14:paraId="4A51BCDE" w14:textId="59E5DA6C" w:rsidR="00AB2CEA" w:rsidRPr="00E8774E" w:rsidRDefault="00AB2CEA" w:rsidP="00867EA5">
            <w:pPr>
              <w:spacing w:before="240"/>
              <w:jc w:val="both"/>
              <w:rPr>
                <w:rFonts w:ascii="Arial" w:hAnsi="Arial" w:cs="Arial"/>
                <w:sz w:val="24"/>
                <w:szCs w:val="24"/>
              </w:rPr>
            </w:pPr>
            <w:r w:rsidRPr="00E8774E">
              <w:rPr>
                <w:rFonts w:ascii="Arial" w:hAnsi="Arial" w:cs="Arial"/>
                <w:sz w:val="24"/>
                <w:szCs w:val="24"/>
              </w:rPr>
              <w:t>Linee guida MUR</w:t>
            </w:r>
            <w:r w:rsidR="00091B32" w:rsidRPr="00E8774E">
              <w:rPr>
                <w:rFonts w:ascii="Arial" w:hAnsi="Arial" w:cs="Arial"/>
                <w:sz w:val="24"/>
                <w:szCs w:val="24"/>
              </w:rPr>
              <w:t xml:space="preserve"> 2</w:t>
            </w:r>
            <w:r w:rsidR="0071708B">
              <w:rPr>
                <w:rFonts w:ascii="Arial" w:hAnsi="Arial" w:cs="Arial"/>
                <w:sz w:val="24"/>
                <w:szCs w:val="24"/>
              </w:rPr>
              <w:t>;</w:t>
            </w:r>
          </w:p>
          <w:p w14:paraId="394F6086" w14:textId="3CC77E45" w:rsidR="00F90588" w:rsidRPr="00E8774E" w:rsidRDefault="00F90588" w:rsidP="00867EA5">
            <w:pPr>
              <w:spacing w:before="240"/>
              <w:jc w:val="both"/>
              <w:rPr>
                <w:rFonts w:ascii="Arial" w:hAnsi="Arial" w:cs="Arial"/>
                <w:sz w:val="24"/>
                <w:szCs w:val="24"/>
              </w:rPr>
            </w:pPr>
            <w:r w:rsidRPr="00E8774E">
              <w:rPr>
                <w:rFonts w:ascii="Arial" w:hAnsi="Arial" w:cs="Arial"/>
                <w:sz w:val="24"/>
                <w:szCs w:val="24"/>
              </w:rPr>
              <w:t>art. 9 del Regolamento (UE) 2021/241.</w:t>
            </w:r>
          </w:p>
        </w:tc>
        <w:tc>
          <w:tcPr>
            <w:tcW w:w="2685" w:type="dxa"/>
          </w:tcPr>
          <w:p w14:paraId="07472E35" w14:textId="1AAF408B" w:rsidR="0042796C" w:rsidRPr="00E8774E" w:rsidRDefault="000D0377" w:rsidP="00867EA5">
            <w:pPr>
              <w:spacing w:before="240"/>
              <w:jc w:val="both"/>
              <w:rPr>
                <w:rFonts w:ascii="Arial" w:hAnsi="Arial" w:cs="Arial"/>
                <w:sz w:val="24"/>
                <w:szCs w:val="24"/>
              </w:rPr>
            </w:pPr>
            <w:r w:rsidRPr="00E8774E">
              <w:rPr>
                <w:rFonts w:ascii="Arial" w:hAnsi="Arial" w:cs="Arial"/>
                <w:sz w:val="24"/>
                <w:szCs w:val="24"/>
              </w:rPr>
              <w:lastRenderedPageBreak/>
              <w:t>RUP/Progettista</w:t>
            </w:r>
          </w:p>
          <w:p w14:paraId="504BD36F" w14:textId="07FB3959" w:rsidR="00AB2CEA" w:rsidRPr="00E8774E" w:rsidRDefault="00AB2CEA" w:rsidP="00867EA5">
            <w:pPr>
              <w:spacing w:before="240"/>
              <w:jc w:val="both"/>
              <w:rPr>
                <w:rFonts w:ascii="Arial" w:hAnsi="Arial" w:cs="Arial"/>
                <w:sz w:val="24"/>
                <w:szCs w:val="24"/>
              </w:rPr>
            </w:pPr>
          </w:p>
          <w:p w14:paraId="4BD3ADA6" w14:textId="12B99A7D" w:rsidR="00AB2CEA" w:rsidRPr="00E8774E" w:rsidRDefault="00AB2CEA" w:rsidP="00867EA5">
            <w:pPr>
              <w:spacing w:before="240"/>
              <w:jc w:val="both"/>
              <w:rPr>
                <w:rFonts w:ascii="Arial" w:hAnsi="Arial" w:cs="Arial"/>
                <w:sz w:val="24"/>
                <w:szCs w:val="24"/>
              </w:rPr>
            </w:pPr>
          </w:p>
          <w:p w14:paraId="75687770" w14:textId="43BAEF36" w:rsidR="00AB2CEA" w:rsidRPr="00E8774E" w:rsidRDefault="00AB2CEA" w:rsidP="00867EA5">
            <w:pPr>
              <w:spacing w:before="240"/>
              <w:jc w:val="both"/>
              <w:rPr>
                <w:rFonts w:ascii="Arial" w:hAnsi="Arial" w:cs="Arial"/>
                <w:sz w:val="24"/>
                <w:szCs w:val="24"/>
              </w:rPr>
            </w:pPr>
          </w:p>
          <w:p w14:paraId="7577B744" w14:textId="0CBEA4F1" w:rsidR="00AB2CEA" w:rsidRPr="00E8774E" w:rsidRDefault="00AB2CEA" w:rsidP="00867EA5">
            <w:pPr>
              <w:spacing w:before="240"/>
              <w:jc w:val="both"/>
              <w:rPr>
                <w:rFonts w:ascii="Arial" w:hAnsi="Arial" w:cs="Arial"/>
                <w:sz w:val="24"/>
                <w:szCs w:val="24"/>
              </w:rPr>
            </w:pPr>
          </w:p>
          <w:p w14:paraId="08CA6122" w14:textId="56FD15F0" w:rsidR="00AB2CEA" w:rsidRPr="00E8774E" w:rsidRDefault="00AB2CEA" w:rsidP="00867EA5">
            <w:pPr>
              <w:spacing w:before="240"/>
              <w:jc w:val="both"/>
              <w:rPr>
                <w:rFonts w:ascii="Arial" w:hAnsi="Arial" w:cs="Arial"/>
                <w:sz w:val="24"/>
                <w:szCs w:val="24"/>
              </w:rPr>
            </w:pPr>
          </w:p>
          <w:p w14:paraId="463F880E" w14:textId="0E536232" w:rsidR="00AB2CEA" w:rsidRPr="00E8774E" w:rsidRDefault="00AB2CEA" w:rsidP="00867EA5">
            <w:pPr>
              <w:spacing w:before="240"/>
              <w:jc w:val="both"/>
              <w:rPr>
                <w:rFonts w:ascii="Arial" w:hAnsi="Arial" w:cs="Arial"/>
                <w:sz w:val="24"/>
                <w:szCs w:val="24"/>
              </w:rPr>
            </w:pPr>
          </w:p>
          <w:p w14:paraId="2FEADB3A" w14:textId="5FE90959" w:rsidR="00AB2CEA" w:rsidRPr="00E8774E" w:rsidRDefault="00AB2CEA" w:rsidP="00867EA5">
            <w:pPr>
              <w:spacing w:before="240"/>
              <w:jc w:val="both"/>
              <w:rPr>
                <w:rFonts w:ascii="Arial" w:hAnsi="Arial" w:cs="Arial"/>
                <w:sz w:val="24"/>
                <w:szCs w:val="24"/>
              </w:rPr>
            </w:pPr>
          </w:p>
          <w:p w14:paraId="0A188DE7" w14:textId="6B087FFA" w:rsidR="00AB2CEA" w:rsidRPr="00E8774E" w:rsidRDefault="00AB2CEA" w:rsidP="00867EA5">
            <w:pPr>
              <w:spacing w:before="240"/>
              <w:jc w:val="both"/>
              <w:rPr>
                <w:rFonts w:ascii="Arial" w:hAnsi="Arial" w:cs="Arial"/>
                <w:sz w:val="24"/>
                <w:szCs w:val="24"/>
              </w:rPr>
            </w:pPr>
          </w:p>
          <w:p w14:paraId="40228857" w14:textId="07D54873" w:rsidR="00AB2CEA" w:rsidRPr="00E8774E" w:rsidRDefault="00AB2CEA" w:rsidP="00867EA5">
            <w:pPr>
              <w:spacing w:before="240"/>
              <w:jc w:val="both"/>
              <w:rPr>
                <w:rFonts w:ascii="Arial" w:hAnsi="Arial" w:cs="Arial"/>
                <w:sz w:val="24"/>
                <w:szCs w:val="24"/>
              </w:rPr>
            </w:pPr>
          </w:p>
          <w:p w14:paraId="1C492B43" w14:textId="3E0D67C1" w:rsidR="00AB2CEA" w:rsidRPr="00E8774E" w:rsidRDefault="00AB2CEA" w:rsidP="00867EA5">
            <w:pPr>
              <w:spacing w:before="240"/>
              <w:jc w:val="both"/>
              <w:rPr>
                <w:rFonts w:ascii="Arial" w:hAnsi="Arial" w:cs="Arial"/>
                <w:sz w:val="24"/>
                <w:szCs w:val="24"/>
              </w:rPr>
            </w:pPr>
          </w:p>
          <w:p w14:paraId="23523CB8" w14:textId="24F01E03" w:rsidR="00AB2CEA" w:rsidRPr="00E8774E" w:rsidRDefault="00AB2CEA" w:rsidP="00867EA5">
            <w:pPr>
              <w:spacing w:before="240"/>
              <w:jc w:val="both"/>
              <w:rPr>
                <w:rFonts w:ascii="Arial" w:hAnsi="Arial" w:cs="Arial"/>
                <w:sz w:val="24"/>
                <w:szCs w:val="24"/>
              </w:rPr>
            </w:pPr>
          </w:p>
          <w:p w14:paraId="2ABC114A" w14:textId="0BF00034" w:rsidR="00AB2CEA" w:rsidRPr="00E8774E" w:rsidRDefault="00AB2CEA" w:rsidP="00867EA5">
            <w:pPr>
              <w:spacing w:before="240"/>
              <w:jc w:val="both"/>
              <w:rPr>
                <w:rFonts w:ascii="Arial" w:hAnsi="Arial" w:cs="Arial"/>
                <w:sz w:val="24"/>
                <w:szCs w:val="24"/>
              </w:rPr>
            </w:pPr>
          </w:p>
          <w:p w14:paraId="114486D6" w14:textId="0CF57F36" w:rsidR="00AB2CEA" w:rsidRPr="00E8774E" w:rsidRDefault="00AB2CEA" w:rsidP="00867EA5">
            <w:pPr>
              <w:spacing w:before="240"/>
              <w:jc w:val="both"/>
              <w:rPr>
                <w:rFonts w:ascii="Arial" w:hAnsi="Arial" w:cs="Arial"/>
                <w:sz w:val="24"/>
                <w:szCs w:val="24"/>
              </w:rPr>
            </w:pPr>
          </w:p>
          <w:p w14:paraId="411DE853" w14:textId="33668A5A" w:rsidR="00AB2CEA" w:rsidRPr="00E8774E" w:rsidRDefault="00AB2CEA" w:rsidP="00867EA5">
            <w:pPr>
              <w:spacing w:before="240"/>
              <w:jc w:val="both"/>
              <w:rPr>
                <w:rFonts w:ascii="Arial" w:hAnsi="Arial" w:cs="Arial"/>
                <w:sz w:val="24"/>
                <w:szCs w:val="24"/>
              </w:rPr>
            </w:pPr>
          </w:p>
          <w:p w14:paraId="7FD65C22" w14:textId="5D998274" w:rsidR="00AB2CEA" w:rsidRPr="00E8774E" w:rsidRDefault="00AB2CEA" w:rsidP="00867EA5">
            <w:pPr>
              <w:spacing w:before="240"/>
              <w:jc w:val="both"/>
              <w:rPr>
                <w:rFonts w:ascii="Arial" w:hAnsi="Arial" w:cs="Arial"/>
                <w:sz w:val="24"/>
                <w:szCs w:val="24"/>
              </w:rPr>
            </w:pPr>
          </w:p>
          <w:p w14:paraId="652E90F4" w14:textId="467BC14C" w:rsidR="00AB2CEA" w:rsidRPr="00E8774E" w:rsidRDefault="00AB2CEA" w:rsidP="00867EA5">
            <w:pPr>
              <w:spacing w:before="240"/>
              <w:jc w:val="both"/>
              <w:rPr>
                <w:rFonts w:ascii="Arial" w:hAnsi="Arial" w:cs="Arial"/>
                <w:sz w:val="24"/>
                <w:szCs w:val="24"/>
              </w:rPr>
            </w:pPr>
          </w:p>
          <w:p w14:paraId="14B36697" w14:textId="41736A80" w:rsidR="00AB2CEA" w:rsidRPr="00E8774E" w:rsidRDefault="00AB2CEA" w:rsidP="00867EA5">
            <w:pPr>
              <w:spacing w:before="240"/>
              <w:jc w:val="both"/>
              <w:rPr>
                <w:rFonts w:ascii="Arial" w:hAnsi="Arial" w:cs="Arial"/>
                <w:sz w:val="24"/>
                <w:szCs w:val="24"/>
              </w:rPr>
            </w:pPr>
          </w:p>
          <w:p w14:paraId="03C97A75" w14:textId="636B98B1" w:rsidR="00AB2CEA" w:rsidRPr="00E8774E" w:rsidRDefault="00AB2CEA" w:rsidP="00867EA5">
            <w:pPr>
              <w:spacing w:before="240"/>
              <w:jc w:val="both"/>
              <w:rPr>
                <w:rFonts w:ascii="Arial" w:hAnsi="Arial" w:cs="Arial"/>
                <w:sz w:val="24"/>
                <w:szCs w:val="24"/>
              </w:rPr>
            </w:pPr>
          </w:p>
          <w:p w14:paraId="31CDB55D" w14:textId="3BB37C50" w:rsidR="00AB2CEA" w:rsidRPr="00E8774E" w:rsidRDefault="00AB2CEA" w:rsidP="00867EA5">
            <w:pPr>
              <w:spacing w:before="240"/>
              <w:jc w:val="both"/>
              <w:rPr>
                <w:rFonts w:ascii="Arial" w:hAnsi="Arial" w:cs="Arial"/>
                <w:sz w:val="24"/>
                <w:szCs w:val="24"/>
              </w:rPr>
            </w:pPr>
          </w:p>
          <w:p w14:paraId="6FB4E67F" w14:textId="09FB8363" w:rsidR="00AB2CEA" w:rsidRPr="00E8774E" w:rsidRDefault="00AB2CEA" w:rsidP="00867EA5">
            <w:pPr>
              <w:spacing w:before="240"/>
              <w:jc w:val="both"/>
              <w:rPr>
                <w:rFonts w:ascii="Arial" w:hAnsi="Arial" w:cs="Arial"/>
                <w:sz w:val="24"/>
                <w:szCs w:val="24"/>
              </w:rPr>
            </w:pPr>
          </w:p>
          <w:p w14:paraId="10EC1A26" w14:textId="4CB3EB96" w:rsidR="00AB2CEA" w:rsidRPr="00E8774E" w:rsidRDefault="00AB2CEA" w:rsidP="00867EA5">
            <w:pPr>
              <w:spacing w:before="240"/>
              <w:jc w:val="both"/>
              <w:rPr>
                <w:rFonts w:ascii="Arial" w:hAnsi="Arial" w:cs="Arial"/>
                <w:sz w:val="24"/>
                <w:szCs w:val="24"/>
              </w:rPr>
            </w:pPr>
          </w:p>
          <w:p w14:paraId="2D61B3C8" w14:textId="183AD4C7" w:rsidR="00AB2CEA" w:rsidRPr="00E8774E" w:rsidRDefault="00AB2CEA" w:rsidP="00867EA5">
            <w:pPr>
              <w:spacing w:before="240"/>
              <w:jc w:val="both"/>
              <w:rPr>
                <w:rFonts w:ascii="Arial" w:hAnsi="Arial" w:cs="Arial"/>
                <w:sz w:val="24"/>
                <w:szCs w:val="24"/>
              </w:rPr>
            </w:pPr>
          </w:p>
          <w:p w14:paraId="240196F5" w14:textId="6C090579" w:rsidR="00AB2CEA" w:rsidRPr="00E8774E" w:rsidRDefault="00AB2CEA" w:rsidP="00867EA5">
            <w:pPr>
              <w:spacing w:before="240"/>
              <w:jc w:val="both"/>
              <w:rPr>
                <w:rFonts w:ascii="Arial" w:hAnsi="Arial" w:cs="Arial"/>
                <w:sz w:val="24"/>
                <w:szCs w:val="24"/>
              </w:rPr>
            </w:pPr>
          </w:p>
          <w:p w14:paraId="3123F64F" w14:textId="4BACF836" w:rsidR="00AB2CEA" w:rsidRPr="00E8774E" w:rsidRDefault="00AB2CEA" w:rsidP="00867EA5">
            <w:pPr>
              <w:spacing w:before="240"/>
              <w:jc w:val="both"/>
              <w:rPr>
                <w:rFonts w:ascii="Arial" w:hAnsi="Arial" w:cs="Arial"/>
                <w:sz w:val="24"/>
                <w:szCs w:val="24"/>
              </w:rPr>
            </w:pPr>
          </w:p>
          <w:p w14:paraId="45BAFC58" w14:textId="021D81D5" w:rsidR="00AB2CEA" w:rsidRPr="00E8774E" w:rsidRDefault="00AB2CEA" w:rsidP="00867EA5">
            <w:pPr>
              <w:spacing w:before="240"/>
              <w:jc w:val="both"/>
              <w:rPr>
                <w:rFonts w:ascii="Arial" w:hAnsi="Arial" w:cs="Arial"/>
                <w:sz w:val="24"/>
                <w:szCs w:val="24"/>
              </w:rPr>
            </w:pPr>
            <w:r w:rsidRPr="00E8774E">
              <w:rPr>
                <w:rFonts w:ascii="Arial" w:hAnsi="Arial" w:cs="Arial"/>
                <w:sz w:val="24"/>
                <w:szCs w:val="24"/>
              </w:rPr>
              <w:t>RUP/</w:t>
            </w:r>
            <w:r w:rsidR="00575582" w:rsidRPr="00E8774E">
              <w:rPr>
                <w:rFonts w:ascii="Arial" w:hAnsi="Arial" w:cs="Arial"/>
                <w:sz w:val="24"/>
                <w:szCs w:val="24"/>
              </w:rPr>
              <w:t>U</w:t>
            </w:r>
            <w:r w:rsidRPr="00E8774E">
              <w:rPr>
                <w:rFonts w:ascii="Arial" w:hAnsi="Arial" w:cs="Arial"/>
                <w:sz w:val="24"/>
                <w:szCs w:val="24"/>
              </w:rPr>
              <w:t>fficio competente per la procedura di gara</w:t>
            </w:r>
          </w:p>
          <w:p w14:paraId="3536D497" w14:textId="07529C69" w:rsidR="000D0377" w:rsidRPr="00E8774E" w:rsidRDefault="000D0377" w:rsidP="00867EA5">
            <w:pPr>
              <w:spacing w:before="240"/>
              <w:jc w:val="both"/>
              <w:rPr>
                <w:rFonts w:ascii="Arial" w:hAnsi="Arial" w:cs="Arial"/>
                <w:sz w:val="24"/>
                <w:szCs w:val="24"/>
              </w:rPr>
            </w:pPr>
          </w:p>
        </w:tc>
      </w:tr>
      <w:tr w:rsidR="006C7E06" w:rsidRPr="00E8774E" w14:paraId="156621E9" w14:textId="77777777" w:rsidTr="00575582">
        <w:tc>
          <w:tcPr>
            <w:tcW w:w="15871" w:type="dxa"/>
          </w:tcPr>
          <w:p w14:paraId="21D0323D" w14:textId="4779B894" w:rsidR="006C7E06" w:rsidRPr="00E8774E" w:rsidRDefault="00B12A48"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lastRenderedPageBreak/>
              <w:t xml:space="preserve">Incarichi e dichiarazioni del personale coinvolto nella procedura di gara e </w:t>
            </w:r>
            <w:r w:rsidR="00D12A59" w:rsidRPr="00E8774E">
              <w:rPr>
                <w:rFonts w:ascii="Arial" w:hAnsi="Arial" w:cs="Arial"/>
                <w:b/>
                <w:sz w:val="24"/>
                <w:szCs w:val="24"/>
              </w:rPr>
              <w:t xml:space="preserve">dei membri </w:t>
            </w:r>
            <w:r w:rsidRPr="00E8774E">
              <w:rPr>
                <w:rFonts w:ascii="Arial" w:hAnsi="Arial" w:cs="Arial"/>
                <w:b/>
                <w:sz w:val="24"/>
                <w:szCs w:val="24"/>
              </w:rPr>
              <w:t>delle commissioni giudicatrici</w:t>
            </w:r>
          </w:p>
          <w:p w14:paraId="3185F254" w14:textId="77777777" w:rsidR="00B12A48" w:rsidRPr="00E8774E" w:rsidRDefault="00B12A48" w:rsidP="00867EA5">
            <w:pPr>
              <w:pStyle w:val="Paragrafoelenco"/>
              <w:jc w:val="both"/>
              <w:rPr>
                <w:rFonts w:ascii="Arial" w:hAnsi="Arial" w:cs="Arial"/>
                <w:sz w:val="24"/>
                <w:szCs w:val="24"/>
              </w:rPr>
            </w:pPr>
            <w:r w:rsidRPr="00E8774E">
              <w:rPr>
                <w:rFonts w:ascii="Arial" w:hAnsi="Arial" w:cs="Arial"/>
                <w:sz w:val="24"/>
                <w:szCs w:val="24"/>
              </w:rPr>
              <w:t>Conferimento incarichi al personale direttamente coinvolto nella procedura di gara e ai membri delle commissioni giudicatrici.</w:t>
            </w:r>
          </w:p>
          <w:p w14:paraId="5C5C53CE" w14:textId="77777777" w:rsidR="00C44C91" w:rsidRPr="00E8774E" w:rsidRDefault="00B12A48" w:rsidP="00867EA5">
            <w:pPr>
              <w:pStyle w:val="Paragrafoelenco"/>
              <w:jc w:val="both"/>
              <w:rPr>
                <w:rFonts w:ascii="Arial" w:hAnsi="Arial" w:cs="Arial"/>
                <w:sz w:val="24"/>
                <w:szCs w:val="24"/>
              </w:rPr>
            </w:pPr>
            <w:r w:rsidRPr="00E8774E">
              <w:rPr>
                <w:rFonts w:ascii="Arial" w:hAnsi="Arial" w:cs="Arial"/>
                <w:sz w:val="24"/>
                <w:szCs w:val="24"/>
              </w:rPr>
              <w:t>Rilascio di una dichiarazione ai sensi del DPR 445/00 da parte di ciascuna unità di personale e di ciascun membro di commissione, attestante l’assenza di conflitti di interessi e di cause di incompatibilità.</w:t>
            </w:r>
          </w:p>
          <w:p w14:paraId="1874785A" w14:textId="3D7D6584" w:rsidR="00C44C91" w:rsidRPr="00E8774E" w:rsidRDefault="00DA401C" w:rsidP="00867EA5">
            <w:pPr>
              <w:pStyle w:val="Paragrafoelenco"/>
              <w:jc w:val="both"/>
              <w:rPr>
                <w:rFonts w:ascii="Arial" w:hAnsi="Arial" w:cs="Arial"/>
                <w:sz w:val="24"/>
                <w:szCs w:val="24"/>
              </w:rPr>
            </w:pPr>
            <w:r w:rsidRPr="00E8774E">
              <w:rPr>
                <w:rFonts w:ascii="Arial" w:hAnsi="Arial" w:cs="Arial"/>
                <w:sz w:val="24"/>
                <w:szCs w:val="24"/>
              </w:rPr>
              <w:t>I</w:t>
            </w:r>
            <w:r w:rsidR="00C44C91" w:rsidRPr="00E8774E">
              <w:rPr>
                <w:rFonts w:ascii="Arial" w:hAnsi="Arial" w:cs="Arial"/>
                <w:sz w:val="24"/>
                <w:szCs w:val="24"/>
              </w:rPr>
              <w:t xml:space="preserve"> dipendenti</w:t>
            </w:r>
            <w:r w:rsidR="00FB6CF2">
              <w:rPr>
                <w:rFonts w:ascii="Arial" w:hAnsi="Arial" w:cs="Arial"/>
                <w:sz w:val="24"/>
                <w:szCs w:val="24"/>
              </w:rPr>
              <w:t>,</w:t>
            </w:r>
            <w:r w:rsidR="00C44C91" w:rsidRPr="00E8774E">
              <w:rPr>
                <w:rFonts w:ascii="Arial" w:hAnsi="Arial" w:cs="Arial"/>
                <w:sz w:val="24"/>
                <w:szCs w:val="24"/>
              </w:rPr>
              <w:t xml:space="preserve"> per ciascuna procedura di gara in cui siano coinvolti</w:t>
            </w:r>
            <w:r w:rsidR="00E8774E">
              <w:rPr>
                <w:rFonts w:ascii="Arial" w:hAnsi="Arial" w:cs="Arial"/>
                <w:sz w:val="24"/>
                <w:szCs w:val="24"/>
              </w:rPr>
              <w:t>,</w:t>
            </w:r>
            <w:r w:rsidR="00C44C91" w:rsidRPr="00E8774E">
              <w:rPr>
                <w:rFonts w:ascii="Arial" w:hAnsi="Arial" w:cs="Arial"/>
                <w:sz w:val="24"/>
                <w:szCs w:val="24"/>
              </w:rPr>
              <w:t xml:space="preserve"> forniscono un aggiornamento della dichiarazione con le informazioni significative in relazione all’oggetto dell’affidamento.</w:t>
            </w:r>
          </w:p>
          <w:p w14:paraId="046CF3F4" w14:textId="4739D6C8" w:rsidR="00C44C91" w:rsidRPr="00E8774E" w:rsidRDefault="00C44C91" w:rsidP="00867EA5">
            <w:pPr>
              <w:pStyle w:val="Paragrafoelenco"/>
              <w:jc w:val="both"/>
              <w:rPr>
                <w:rFonts w:ascii="Arial" w:hAnsi="Arial" w:cs="Arial"/>
                <w:sz w:val="24"/>
                <w:szCs w:val="24"/>
              </w:rPr>
            </w:pPr>
            <w:r w:rsidRPr="00E8774E">
              <w:rPr>
                <w:rFonts w:ascii="Arial" w:hAnsi="Arial" w:cs="Arial"/>
                <w:sz w:val="24"/>
                <w:szCs w:val="24"/>
              </w:rPr>
              <w:t>Anche i soggetti esterni, cui sono affidati incarichi in relazione a uno specifico contratto, sono tenuti a rendere la dichiarazione per la verifica dell’insussistenza di conflitti di interessi. Gli uffici competenti della stazione appaltante possono effettuare controlli a campione sulle dichiarazioni, ivi comprese quelle del RUP, da avviarsi ogni volta che sorga il sospetto della non veridicità delle informazioni riportate.</w:t>
            </w:r>
          </w:p>
          <w:p w14:paraId="369B81A1" w14:textId="617F375B" w:rsidR="00C44C91" w:rsidRPr="00E8774E" w:rsidRDefault="00C44C91" w:rsidP="00867EA5">
            <w:pPr>
              <w:pStyle w:val="Paragrafoelenco"/>
              <w:jc w:val="both"/>
              <w:rPr>
                <w:rFonts w:ascii="Arial" w:hAnsi="Arial" w:cs="Arial"/>
                <w:sz w:val="24"/>
                <w:szCs w:val="24"/>
              </w:rPr>
            </w:pPr>
          </w:p>
        </w:tc>
        <w:tc>
          <w:tcPr>
            <w:tcW w:w="2694" w:type="dxa"/>
          </w:tcPr>
          <w:p w14:paraId="10DDE0F5" w14:textId="6CEF1BE0" w:rsidR="00876E8F" w:rsidRPr="00E8774E" w:rsidRDefault="00B12A48" w:rsidP="00867EA5">
            <w:pPr>
              <w:jc w:val="both"/>
              <w:rPr>
                <w:rFonts w:ascii="Arial" w:hAnsi="Arial" w:cs="Arial"/>
                <w:sz w:val="24"/>
                <w:szCs w:val="24"/>
              </w:rPr>
            </w:pPr>
            <w:r w:rsidRPr="00E8774E">
              <w:rPr>
                <w:rFonts w:ascii="Arial" w:hAnsi="Arial" w:cs="Arial"/>
                <w:sz w:val="24"/>
                <w:szCs w:val="24"/>
              </w:rPr>
              <w:t xml:space="preserve">Artt. </w:t>
            </w:r>
            <w:r w:rsidR="007657DD" w:rsidRPr="00E8774E">
              <w:rPr>
                <w:rFonts w:ascii="Arial" w:hAnsi="Arial" w:cs="Arial"/>
                <w:sz w:val="24"/>
                <w:szCs w:val="24"/>
              </w:rPr>
              <w:t xml:space="preserve">16 e </w:t>
            </w:r>
            <w:r w:rsidR="000A160A" w:rsidRPr="00E8774E">
              <w:rPr>
                <w:rFonts w:ascii="Arial" w:hAnsi="Arial" w:cs="Arial"/>
                <w:sz w:val="24"/>
                <w:szCs w:val="24"/>
              </w:rPr>
              <w:t>93</w:t>
            </w:r>
            <w:r w:rsidR="007657DD" w:rsidRPr="00E8774E">
              <w:rPr>
                <w:rFonts w:ascii="Arial" w:hAnsi="Arial" w:cs="Arial"/>
                <w:sz w:val="24"/>
                <w:szCs w:val="24"/>
              </w:rPr>
              <w:t xml:space="preserve"> D.lgs. 36/2023</w:t>
            </w:r>
            <w:r w:rsidR="00876E8F" w:rsidRPr="00E8774E">
              <w:rPr>
                <w:rFonts w:ascii="Arial" w:hAnsi="Arial" w:cs="Arial"/>
                <w:sz w:val="24"/>
                <w:szCs w:val="24"/>
              </w:rPr>
              <w:t>;</w:t>
            </w:r>
          </w:p>
          <w:p w14:paraId="35B7F2EC" w14:textId="77777777" w:rsidR="00876E8F" w:rsidRPr="00E8774E" w:rsidRDefault="00876E8F" w:rsidP="00867EA5">
            <w:pPr>
              <w:jc w:val="both"/>
              <w:rPr>
                <w:rFonts w:ascii="Arial" w:hAnsi="Arial" w:cs="Arial"/>
                <w:sz w:val="24"/>
                <w:szCs w:val="24"/>
              </w:rPr>
            </w:pPr>
          </w:p>
          <w:p w14:paraId="45875DAA" w14:textId="7DE2482C" w:rsidR="00B12A48" w:rsidRPr="00E8774E" w:rsidRDefault="00B12A48" w:rsidP="00867EA5">
            <w:pPr>
              <w:jc w:val="both"/>
              <w:rPr>
                <w:rFonts w:ascii="Arial" w:hAnsi="Arial" w:cs="Arial"/>
                <w:sz w:val="24"/>
                <w:szCs w:val="24"/>
              </w:rPr>
            </w:pPr>
            <w:r w:rsidRPr="00E8774E">
              <w:rPr>
                <w:rFonts w:ascii="Arial" w:hAnsi="Arial" w:cs="Arial"/>
                <w:sz w:val="24"/>
                <w:szCs w:val="24"/>
              </w:rPr>
              <w:t>Linee guida MEF;</w:t>
            </w:r>
          </w:p>
          <w:p w14:paraId="6CF7B95E" w14:textId="77777777" w:rsidR="00876E8F" w:rsidRPr="00E8774E" w:rsidRDefault="00876E8F" w:rsidP="00867EA5">
            <w:pPr>
              <w:jc w:val="both"/>
              <w:rPr>
                <w:rFonts w:ascii="Arial" w:hAnsi="Arial" w:cs="Arial"/>
                <w:sz w:val="24"/>
                <w:szCs w:val="24"/>
              </w:rPr>
            </w:pPr>
          </w:p>
          <w:p w14:paraId="6E159BFF" w14:textId="768F2EE0" w:rsidR="00B12A48" w:rsidRPr="00E8774E" w:rsidRDefault="00B12A48" w:rsidP="00867EA5">
            <w:pPr>
              <w:jc w:val="both"/>
              <w:rPr>
                <w:rFonts w:ascii="Arial" w:hAnsi="Arial" w:cs="Arial"/>
                <w:sz w:val="24"/>
                <w:szCs w:val="24"/>
              </w:rPr>
            </w:pPr>
            <w:r w:rsidRPr="00E8774E">
              <w:rPr>
                <w:rFonts w:ascii="Arial" w:hAnsi="Arial" w:cs="Arial"/>
                <w:sz w:val="24"/>
                <w:szCs w:val="24"/>
              </w:rPr>
              <w:t>Linee guida MUR 2</w:t>
            </w:r>
            <w:r w:rsidR="00081B0B" w:rsidRPr="00E8774E">
              <w:rPr>
                <w:rFonts w:ascii="Arial" w:hAnsi="Arial" w:cs="Arial"/>
                <w:sz w:val="24"/>
                <w:szCs w:val="24"/>
              </w:rPr>
              <w:t>;</w:t>
            </w:r>
          </w:p>
          <w:p w14:paraId="6E063E95" w14:textId="77777777" w:rsidR="00876E8F" w:rsidRPr="00E8774E" w:rsidRDefault="00876E8F" w:rsidP="00867EA5">
            <w:pPr>
              <w:jc w:val="both"/>
              <w:rPr>
                <w:rFonts w:ascii="Arial" w:hAnsi="Arial" w:cs="Arial"/>
                <w:sz w:val="24"/>
                <w:szCs w:val="24"/>
              </w:rPr>
            </w:pPr>
          </w:p>
          <w:p w14:paraId="06C8BE9B" w14:textId="7AEE7313" w:rsidR="00C44C91" w:rsidRPr="00E8774E" w:rsidRDefault="00C44C91" w:rsidP="00867EA5">
            <w:pPr>
              <w:jc w:val="both"/>
              <w:rPr>
                <w:rFonts w:ascii="Arial" w:hAnsi="Arial" w:cs="Arial"/>
                <w:sz w:val="24"/>
                <w:szCs w:val="24"/>
              </w:rPr>
            </w:pPr>
            <w:r w:rsidRPr="00E8774E">
              <w:rPr>
                <w:rFonts w:ascii="Arial" w:hAnsi="Arial" w:cs="Arial"/>
                <w:sz w:val="24"/>
                <w:szCs w:val="24"/>
              </w:rPr>
              <w:t>PNA 2022, Delibera n. 7 del 17 gennaio 2023.</w:t>
            </w:r>
          </w:p>
        </w:tc>
        <w:tc>
          <w:tcPr>
            <w:tcW w:w="2685" w:type="dxa"/>
          </w:tcPr>
          <w:p w14:paraId="5E44EDDD" w14:textId="6A9D543C" w:rsidR="006C7E06" w:rsidRPr="00E8774E" w:rsidRDefault="00B12A48" w:rsidP="00867EA5">
            <w:pPr>
              <w:jc w:val="both"/>
              <w:rPr>
                <w:rFonts w:ascii="Arial" w:hAnsi="Arial" w:cs="Arial"/>
                <w:sz w:val="24"/>
                <w:szCs w:val="24"/>
              </w:rPr>
            </w:pPr>
            <w:r w:rsidRPr="00E8774E">
              <w:rPr>
                <w:rFonts w:ascii="Arial" w:hAnsi="Arial" w:cs="Arial"/>
                <w:sz w:val="24"/>
                <w:szCs w:val="24"/>
              </w:rPr>
              <w:t>Direttore Area competente/RAD</w:t>
            </w:r>
          </w:p>
        </w:tc>
      </w:tr>
      <w:tr w:rsidR="006812EB" w:rsidRPr="00E8774E" w14:paraId="2EE54881" w14:textId="77777777" w:rsidTr="00575582">
        <w:tc>
          <w:tcPr>
            <w:tcW w:w="15871" w:type="dxa"/>
          </w:tcPr>
          <w:p w14:paraId="4E7C1159" w14:textId="5C7493AE" w:rsidR="006812EB" w:rsidRPr="00E8774E" w:rsidRDefault="00C76906"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Obblighi di pubblicazione e comunicazione</w:t>
            </w:r>
          </w:p>
          <w:p w14:paraId="531AAC80" w14:textId="79E49FA2" w:rsidR="005613F0" w:rsidRPr="00E8774E" w:rsidRDefault="00C76906" w:rsidP="00867EA5">
            <w:pPr>
              <w:pStyle w:val="Paragrafoelenco"/>
              <w:jc w:val="both"/>
              <w:rPr>
                <w:rFonts w:ascii="Arial" w:hAnsi="Arial" w:cs="Arial"/>
                <w:sz w:val="24"/>
                <w:szCs w:val="24"/>
              </w:rPr>
            </w:pPr>
            <w:r w:rsidRPr="00E8774E">
              <w:rPr>
                <w:rFonts w:ascii="Arial" w:hAnsi="Arial" w:cs="Arial"/>
                <w:sz w:val="24"/>
                <w:szCs w:val="24"/>
              </w:rPr>
              <w:t xml:space="preserve">Occorre </w:t>
            </w:r>
            <w:r w:rsidR="005613F0" w:rsidRPr="00E8774E">
              <w:rPr>
                <w:rFonts w:ascii="Arial" w:hAnsi="Arial" w:cs="Arial"/>
                <w:sz w:val="24"/>
                <w:szCs w:val="24"/>
              </w:rPr>
              <w:t xml:space="preserve">pubblicare </w:t>
            </w:r>
            <w:r w:rsidR="005613F0" w:rsidRPr="00E8774E">
              <w:rPr>
                <w:rFonts w:ascii="Arial" w:hAnsi="Arial" w:cs="Arial"/>
                <w:b/>
                <w:sz w:val="24"/>
                <w:szCs w:val="24"/>
              </w:rPr>
              <w:t>tempestivamente</w:t>
            </w:r>
            <w:r w:rsidR="00657DA9" w:rsidRPr="00E8774E">
              <w:rPr>
                <w:rFonts w:ascii="Arial" w:hAnsi="Arial" w:cs="Arial"/>
                <w:b/>
                <w:sz w:val="24"/>
                <w:szCs w:val="24"/>
              </w:rPr>
              <w:t>,</w:t>
            </w:r>
            <w:r w:rsidR="003B3A62" w:rsidRPr="00E8774E">
              <w:rPr>
                <w:rFonts w:ascii="Arial" w:hAnsi="Arial" w:cs="Arial"/>
                <w:sz w:val="24"/>
                <w:szCs w:val="24"/>
              </w:rPr>
              <w:t xml:space="preserve"> nella sezione “Amministrazione trasparente – Bandi di gara e contratti”</w:t>
            </w:r>
            <w:r w:rsidR="005613F0" w:rsidRPr="00E8774E">
              <w:rPr>
                <w:rFonts w:ascii="Arial" w:hAnsi="Arial" w:cs="Arial"/>
                <w:sz w:val="24"/>
                <w:szCs w:val="24"/>
              </w:rPr>
              <w:t>:</w:t>
            </w:r>
          </w:p>
          <w:p w14:paraId="1C4965ED" w14:textId="74B82B1B" w:rsidR="00456472" w:rsidRPr="00E8774E" w:rsidRDefault="00CD0D41" w:rsidP="00867EA5">
            <w:pPr>
              <w:pStyle w:val="Paragrafoelenco"/>
              <w:numPr>
                <w:ilvl w:val="0"/>
                <w:numId w:val="16"/>
              </w:numPr>
              <w:jc w:val="both"/>
              <w:rPr>
                <w:rFonts w:ascii="Arial" w:hAnsi="Arial" w:cs="Arial"/>
                <w:sz w:val="24"/>
                <w:szCs w:val="24"/>
              </w:rPr>
            </w:pPr>
            <w:r w:rsidRPr="00E8774E">
              <w:rPr>
                <w:rFonts w:ascii="Arial" w:hAnsi="Arial" w:cs="Arial"/>
                <w:sz w:val="24"/>
                <w:szCs w:val="24"/>
              </w:rPr>
              <w:lastRenderedPageBreak/>
              <w:t>il testo dei contratti e dei successi</w:t>
            </w:r>
            <w:r w:rsidR="00B402F2">
              <w:rPr>
                <w:rFonts w:ascii="Arial" w:hAnsi="Arial" w:cs="Arial"/>
                <w:sz w:val="24"/>
                <w:szCs w:val="24"/>
              </w:rPr>
              <w:t>v</w:t>
            </w:r>
            <w:r w:rsidRPr="00E8774E">
              <w:rPr>
                <w:rFonts w:ascii="Arial" w:hAnsi="Arial" w:cs="Arial"/>
                <w:sz w:val="24"/>
                <w:szCs w:val="24"/>
              </w:rPr>
              <w:t xml:space="preserve">i accordi modificativi/ interpretativi degli stessi (salve le esigenze di riservatezza ovvero dei documenti secretati e nel rispetto dei limiti previsti in via generale dal d.lgs. 196/2003 e </w:t>
            </w:r>
            <w:proofErr w:type="spellStart"/>
            <w:r w:rsidRPr="00E8774E">
              <w:rPr>
                <w:rFonts w:ascii="Arial" w:hAnsi="Arial" w:cs="Arial"/>
                <w:sz w:val="24"/>
                <w:szCs w:val="24"/>
              </w:rPr>
              <w:t>ss.mm.ii</w:t>
            </w:r>
            <w:proofErr w:type="spellEnd"/>
            <w:r w:rsidRPr="00E8774E">
              <w:rPr>
                <w:rFonts w:ascii="Arial" w:hAnsi="Arial" w:cs="Arial"/>
                <w:sz w:val="24"/>
                <w:szCs w:val="24"/>
              </w:rPr>
              <w:t>. in materia di dati personali) a prescindere dall’importo;</w:t>
            </w:r>
            <w:r w:rsidR="00456472" w:rsidRPr="00E8774E">
              <w:rPr>
                <w:rFonts w:ascii="Arial" w:hAnsi="Arial" w:cs="Arial"/>
                <w:sz w:val="24"/>
                <w:szCs w:val="24"/>
              </w:rPr>
              <w:t xml:space="preserve"> </w:t>
            </w:r>
          </w:p>
          <w:p w14:paraId="58D0AD86" w14:textId="183473A9" w:rsidR="00CD0D41" w:rsidRPr="00E8774E" w:rsidRDefault="00456472" w:rsidP="00867EA5">
            <w:pPr>
              <w:pStyle w:val="Paragrafoelenco"/>
              <w:numPr>
                <w:ilvl w:val="0"/>
                <w:numId w:val="13"/>
              </w:numPr>
              <w:jc w:val="both"/>
              <w:rPr>
                <w:rFonts w:ascii="Arial" w:hAnsi="Arial" w:cs="Arial"/>
                <w:sz w:val="24"/>
                <w:szCs w:val="24"/>
              </w:rPr>
            </w:pPr>
            <w:r w:rsidRPr="00E8774E">
              <w:rPr>
                <w:rFonts w:ascii="Arial" w:hAnsi="Arial" w:cs="Arial"/>
                <w:sz w:val="24"/>
                <w:szCs w:val="24"/>
              </w:rPr>
              <w:t xml:space="preserve">l’avviso di avvio e </w:t>
            </w:r>
            <w:r w:rsidR="000C776F" w:rsidRPr="00E8774E">
              <w:rPr>
                <w:rFonts w:ascii="Arial" w:hAnsi="Arial" w:cs="Arial"/>
                <w:sz w:val="24"/>
                <w:szCs w:val="24"/>
              </w:rPr>
              <w:t>l’</w:t>
            </w:r>
            <w:r w:rsidRPr="00E8774E">
              <w:rPr>
                <w:rFonts w:ascii="Arial" w:hAnsi="Arial" w:cs="Arial"/>
                <w:sz w:val="24"/>
                <w:szCs w:val="24"/>
              </w:rPr>
              <w:t xml:space="preserve">avviso sui risultati della aggiudicazione di  procedure negoziate senza bando (ove la </w:t>
            </w:r>
            <w:r w:rsidR="00BC4B65">
              <w:rPr>
                <w:rFonts w:ascii="Arial" w:hAnsi="Arial" w:cs="Arial"/>
                <w:sz w:val="24"/>
                <w:szCs w:val="24"/>
              </w:rPr>
              <w:t>decisione di</w:t>
            </w:r>
            <w:r w:rsidRPr="00E8774E">
              <w:rPr>
                <w:rFonts w:ascii="Arial" w:hAnsi="Arial" w:cs="Arial"/>
                <w:sz w:val="24"/>
                <w:szCs w:val="24"/>
              </w:rPr>
              <w:t xml:space="preserve"> contrarre o atto equivalente sia adottato entro il  31.12.2023) </w:t>
            </w:r>
            <w:r w:rsidR="000C776F" w:rsidRPr="00E8774E">
              <w:rPr>
                <w:rFonts w:ascii="Arial" w:hAnsi="Arial" w:cs="Arial"/>
                <w:sz w:val="24"/>
                <w:szCs w:val="24"/>
              </w:rPr>
              <w:t xml:space="preserve">con indicazione dei soggetti invitati, </w:t>
            </w:r>
            <w:r w:rsidRPr="00E8774E">
              <w:rPr>
                <w:rFonts w:ascii="Arial" w:hAnsi="Arial" w:cs="Arial"/>
                <w:sz w:val="24"/>
                <w:szCs w:val="24"/>
              </w:rPr>
              <w:t xml:space="preserve">per l'affidamento di servizi e forniture, ivi compresi i servizi di ingegneria e architettura e </w:t>
            </w:r>
            <w:r w:rsidR="00964483" w:rsidRPr="00E8774E">
              <w:rPr>
                <w:rFonts w:ascii="Arial" w:hAnsi="Arial" w:cs="Arial"/>
                <w:sz w:val="24"/>
                <w:szCs w:val="24"/>
              </w:rPr>
              <w:t>l’attività</w:t>
            </w:r>
            <w:r w:rsidRPr="00E8774E">
              <w:rPr>
                <w:rFonts w:ascii="Arial" w:hAnsi="Arial" w:cs="Arial"/>
                <w:sz w:val="24"/>
                <w:szCs w:val="24"/>
              </w:rPr>
              <w:t xml:space="preserve"> di progettazione, di importo pari o superiore a 139.000 euro e fino alle soglie comunitarie e di lavori di importo pari o superiore a 150.000 euro e </w:t>
            </w:r>
            <w:r w:rsidR="00E8774E">
              <w:rPr>
                <w:rFonts w:ascii="Arial" w:hAnsi="Arial" w:cs="Arial"/>
                <w:sz w:val="24"/>
                <w:szCs w:val="24"/>
              </w:rPr>
              <w:t>fino alle soglie comunitarie</w:t>
            </w:r>
            <w:r w:rsidR="000C776F" w:rsidRPr="00E8774E">
              <w:rPr>
                <w:rFonts w:ascii="Arial" w:hAnsi="Arial" w:cs="Arial"/>
                <w:sz w:val="24"/>
                <w:szCs w:val="24"/>
              </w:rPr>
              <w:t>;</w:t>
            </w:r>
          </w:p>
          <w:p w14:paraId="36EA61E2" w14:textId="251A08A0" w:rsidR="00F056A4" w:rsidRPr="00E8774E" w:rsidRDefault="000C776F" w:rsidP="005B7241">
            <w:pPr>
              <w:pStyle w:val="Paragrafoelenco"/>
              <w:numPr>
                <w:ilvl w:val="0"/>
                <w:numId w:val="13"/>
              </w:numPr>
              <w:jc w:val="both"/>
              <w:rPr>
                <w:rFonts w:ascii="Arial" w:hAnsi="Arial" w:cs="Arial"/>
                <w:sz w:val="24"/>
                <w:szCs w:val="24"/>
              </w:rPr>
            </w:pPr>
            <w:r w:rsidRPr="00E8774E">
              <w:rPr>
                <w:rFonts w:ascii="Arial" w:hAnsi="Arial" w:cs="Arial"/>
                <w:sz w:val="24"/>
                <w:szCs w:val="24"/>
              </w:rPr>
              <w:t xml:space="preserve">l’avviso sui risultati della procedura di affidamento diretto (ove la </w:t>
            </w:r>
            <w:r w:rsidR="00BC4B65">
              <w:rPr>
                <w:rFonts w:ascii="Arial" w:hAnsi="Arial" w:cs="Arial"/>
                <w:sz w:val="24"/>
                <w:szCs w:val="24"/>
              </w:rPr>
              <w:t>decisione di</w:t>
            </w:r>
            <w:r w:rsidRPr="00E8774E">
              <w:rPr>
                <w:rFonts w:ascii="Arial" w:hAnsi="Arial" w:cs="Arial"/>
                <w:sz w:val="24"/>
                <w:szCs w:val="24"/>
              </w:rPr>
              <w:t xml:space="preserve"> contrarre o atto equivalente sia adottato entro </w:t>
            </w:r>
            <w:proofErr w:type="gramStart"/>
            <w:r w:rsidRPr="00E8774E">
              <w:rPr>
                <w:rFonts w:ascii="Arial" w:hAnsi="Arial" w:cs="Arial"/>
                <w:sz w:val="24"/>
                <w:szCs w:val="24"/>
              </w:rPr>
              <w:t>il  31.12.2023</w:t>
            </w:r>
            <w:proofErr w:type="gramEnd"/>
            <w:r w:rsidRPr="00E8774E">
              <w:rPr>
                <w:rFonts w:ascii="Arial" w:hAnsi="Arial" w:cs="Arial"/>
                <w:sz w:val="24"/>
                <w:szCs w:val="24"/>
              </w:rPr>
              <w:t>) con indicazione dei soggetti invitati, per gli affidamenti  diretti per lavori di importo inferiore a 150.000 euro e per servizi e forniture, ivi compresi i servizi di ingegneria e architettura e l'attività di progettazione, di importo inferiore a 139.000 euro</w:t>
            </w:r>
            <w:r w:rsidR="00A45400" w:rsidRPr="00E8774E">
              <w:rPr>
                <w:rFonts w:ascii="Arial" w:hAnsi="Arial" w:cs="Arial"/>
                <w:sz w:val="24"/>
                <w:szCs w:val="24"/>
              </w:rPr>
              <w:t>. Detta pubblicazione non è obbligatoria per gli affidamenti inferiori a 40.000 euro)</w:t>
            </w:r>
            <w:r w:rsidR="001D3B02" w:rsidRPr="00E8774E">
              <w:rPr>
                <w:rFonts w:ascii="Arial" w:hAnsi="Arial" w:cs="Arial"/>
                <w:sz w:val="24"/>
                <w:szCs w:val="24"/>
              </w:rPr>
              <w:t>;</w:t>
            </w:r>
          </w:p>
          <w:p w14:paraId="58B9FCA8" w14:textId="77777777" w:rsidR="00F056A4" w:rsidRPr="00E8774E" w:rsidRDefault="00F056A4" w:rsidP="00867EA5">
            <w:pPr>
              <w:pStyle w:val="Paragrafoelenco"/>
              <w:numPr>
                <w:ilvl w:val="0"/>
                <w:numId w:val="13"/>
              </w:numPr>
              <w:jc w:val="both"/>
              <w:rPr>
                <w:rFonts w:ascii="Arial" w:hAnsi="Arial" w:cs="Arial"/>
                <w:sz w:val="24"/>
                <w:szCs w:val="24"/>
              </w:rPr>
            </w:pPr>
            <w:r w:rsidRPr="00E8774E">
              <w:rPr>
                <w:rFonts w:ascii="Arial" w:hAnsi="Arial" w:cs="Arial"/>
                <w:sz w:val="24"/>
                <w:szCs w:val="24"/>
              </w:rPr>
              <w:t>la relazione di genere sulla situazione del personale maschile e femminile;</w:t>
            </w:r>
          </w:p>
          <w:p w14:paraId="73F62C1D" w14:textId="77777777" w:rsidR="00CD0D41" w:rsidRPr="00E8774E" w:rsidRDefault="00F056A4" w:rsidP="00867EA5">
            <w:pPr>
              <w:pStyle w:val="Paragrafoelenco"/>
              <w:numPr>
                <w:ilvl w:val="0"/>
                <w:numId w:val="13"/>
              </w:numPr>
              <w:jc w:val="both"/>
              <w:rPr>
                <w:rFonts w:ascii="Arial" w:hAnsi="Arial" w:cs="Arial"/>
                <w:sz w:val="24"/>
                <w:szCs w:val="24"/>
              </w:rPr>
            </w:pPr>
            <w:r w:rsidRPr="00E8774E">
              <w:rPr>
                <w:rFonts w:ascii="Arial" w:hAnsi="Arial" w:cs="Arial"/>
                <w:sz w:val="24"/>
                <w:szCs w:val="24"/>
              </w:rPr>
              <w:t>la relazione che illustra l’assolvimento agli obblighi di cui alla l. 68/99 ed eventuali sanzioni e provvedimenti disposti a carico dell’operatore economico nel triennio antecedente la data di scadenza di presentazione dell’offerta.</w:t>
            </w:r>
            <w:r w:rsidR="00CD0D41" w:rsidRPr="00E8774E">
              <w:rPr>
                <w:rFonts w:ascii="Arial" w:hAnsi="Arial" w:cs="Arial"/>
                <w:sz w:val="24"/>
                <w:szCs w:val="24"/>
              </w:rPr>
              <w:t xml:space="preserve"> </w:t>
            </w:r>
          </w:p>
          <w:p w14:paraId="1275EB5E" w14:textId="2D083E6B" w:rsidR="00CD0D41" w:rsidRPr="00E8774E" w:rsidRDefault="00CD0D41" w:rsidP="00867EA5">
            <w:pPr>
              <w:ind w:left="735"/>
              <w:jc w:val="both"/>
              <w:rPr>
                <w:rFonts w:ascii="Arial" w:hAnsi="Arial" w:cs="Arial"/>
                <w:sz w:val="24"/>
                <w:szCs w:val="24"/>
              </w:rPr>
            </w:pPr>
            <w:r w:rsidRPr="00E8774E">
              <w:rPr>
                <w:rFonts w:ascii="Arial" w:hAnsi="Arial" w:cs="Arial"/>
                <w:sz w:val="24"/>
                <w:szCs w:val="24"/>
              </w:rPr>
              <w:t xml:space="preserve">Questi ultimi </w:t>
            </w:r>
            <w:r w:rsidR="005B7241" w:rsidRPr="00E8774E">
              <w:rPr>
                <w:rFonts w:ascii="Arial" w:hAnsi="Arial" w:cs="Arial"/>
                <w:sz w:val="24"/>
                <w:szCs w:val="24"/>
              </w:rPr>
              <w:t>due</w:t>
            </w:r>
            <w:r w:rsidRPr="00E8774E">
              <w:rPr>
                <w:rFonts w:ascii="Arial" w:hAnsi="Arial" w:cs="Arial"/>
                <w:sz w:val="24"/>
                <w:szCs w:val="24"/>
              </w:rPr>
              <w:t xml:space="preserve"> documenti devono essere trasmessi alla Presidenza del Consiglio dei Ministri ovvero ai Ministri o alle Autorità delegati per le pari opportunità e della famiglia e per le politiche giovanili e il servizio civile universale.</w:t>
            </w:r>
          </w:p>
          <w:p w14:paraId="721EA5E6" w14:textId="77777777" w:rsidR="00F056A4" w:rsidRPr="00E8774E" w:rsidRDefault="00F056A4" w:rsidP="00867EA5">
            <w:pPr>
              <w:jc w:val="both"/>
              <w:rPr>
                <w:rFonts w:ascii="Arial" w:hAnsi="Arial" w:cs="Arial"/>
                <w:sz w:val="24"/>
                <w:szCs w:val="24"/>
              </w:rPr>
            </w:pPr>
          </w:p>
          <w:p w14:paraId="4C448E9F" w14:textId="5FCA5264" w:rsidR="001020A0" w:rsidRPr="00E8774E" w:rsidRDefault="001020A0" w:rsidP="00867EA5">
            <w:pPr>
              <w:jc w:val="both"/>
              <w:rPr>
                <w:rFonts w:ascii="Arial" w:hAnsi="Arial" w:cs="Arial"/>
                <w:sz w:val="24"/>
                <w:szCs w:val="24"/>
              </w:rPr>
            </w:pPr>
            <w:r w:rsidRPr="00E8774E">
              <w:rPr>
                <w:rFonts w:ascii="Arial" w:hAnsi="Arial" w:cs="Arial"/>
                <w:sz w:val="24"/>
                <w:szCs w:val="24"/>
              </w:rPr>
              <w:t xml:space="preserve">             Devono esser</w:t>
            </w:r>
            <w:r w:rsidR="00091892">
              <w:rPr>
                <w:rFonts w:ascii="Arial" w:hAnsi="Arial" w:cs="Arial"/>
                <w:sz w:val="24"/>
                <w:szCs w:val="24"/>
              </w:rPr>
              <w:t>e</w:t>
            </w:r>
            <w:r w:rsidRPr="00E8774E">
              <w:rPr>
                <w:rFonts w:ascii="Arial" w:hAnsi="Arial" w:cs="Arial"/>
                <w:sz w:val="24"/>
                <w:szCs w:val="24"/>
              </w:rPr>
              <w:t xml:space="preserve"> pubblicati </w:t>
            </w:r>
            <w:r w:rsidRPr="00E8774E">
              <w:rPr>
                <w:rFonts w:ascii="Arial" w:hAnsi="Arial" w:cs="Arial"/>
                <w:b/>
                <w:sz w:val="24"/>
                <w:szCs w:val="24"/>
              </w:rPr>
              <w:t>successivamente alla pubblicazione degli avvisi relativi agli esiti delle procedure</w:t>
            </w:r>
            <w:r w:rsidRPr="00E8774E">
              <w:rPr>
                <w:rFonts w:ascii="Arial" w:hAnsi="Arial" w:cs="Arial"/>
                <w:sz w:val="24"/>
                <w:szCs w:val="24"/>
              </w:rPr>
              <w:t>:</w:t>
            </w:r>
          </w:p>
          <w:p w14:paraId="1FF515CB" w14:textId="78E425D3" w:rsidR="00456472" w:rsidRPr="00E8774E" w:rsidRDefault="001020A0" w:rsidP="00867EA5">
            <w:pPr>
              <w:pStyle w:val="Paragrafoelenco"/>
              <w:numPr>
                <w:ilvl w:val="0"/>
                <w:numId w:val="13"/>
              </w:numPr>
              <w:jc w:val="both"/>
              <w:rPr>
                <w:rFonts w:ascii="Arial" w:hAnsi="Arial" w:cs="Arial"/>
                <w:sz w:val="24"/>
                <w:szCs w:val="24"/>
              </w:rPr>
            </w:pPr>
            <w:r w:rsidRPr="00E8774E">
              <w:rPr>
                <w:rFonts w:ascii="Arial" w:hAnsi="Arial" w:cs="Arial"/>
                <w:sz w:val="24"/>
                <w:szCs w:val="24"/>
              </w:rPr>
              <w:t xml:space="preserve">i verbali delle commissioni di gara (fatte salve le esigenze di riservatezza ovvero dei documenti secretati e nel rispetto dei limiti previsti in via generale dal d.lgs. 196/2003 e </w:t>
            </w:r>
            <w:proofErr w:type="spellStart"/>
            <w:r w:rsidRPr="00E8774E">
              <w:rPr>
                <w:rFonts w:ascii="Arial" w:hAnsi="Arial" w:cs="Arial"/>
                <w:sz w:val="24"/>
                <w:szCs w:val="24"/>
              </w:rPr>
              <w:t>ss.mm.ii</w:t>
            </w:r>
            <w:proofErr w:type="spellEnd"/>
            <w:r w:rsidRPr="00E8774E">
              <w:rPr>
                <w:rFonts w:ascii="Arial" w:hAnsi="Arial" w:cs="Arial"/>
                <w:sz w:val="24"/>
                <w:szCs w:val="24"/>
              </w:rPr>
              <w:t>. in materia di dati personali</w:t>
            </w:r>
            <w:r w:rsidR="00C67819" w:rsidRPr="00E8774E">
              <w:rPr>
                <w:rFonts w:ascii="Arial" w:hAnsi="Arial" w:cs="Arial"/>
                <w:sz w:val="24"/>
                <w:szCs w:val="24"/>
              </w:rPr>
              <w:t>)</w:t>
            </w:r>
            <w:r w:rsidR="00D52EEF" w:rsidRPr="00E8774E">
              <w:rPr>
                <w:rFonts w:ascii="Arial" w:hAnsi="Arial" w:cs="Arial"/>
                <w:sz w:val="24"/>
                <w:szCs w:val="24"/>
              </w:rPr>
              <w:t>;</w:t>
            </w:r>
          </w:p>
          <w:p w14:paraId="638C158C" w14:textId="39A6C442" w:rsidR="00D52EEF" w:rsidRPr="00E8774E" w:rsidRDefault="00D52EEF" w:rsidP="00867EA5">
            <w:pPr>
              <w:pStyle w:val="Paragrafoelenco"/>
              <w:numPr>
                <w:ilvl w:val="0"/>
                <w:numId w:val="13"/>
              </w:numPr>
              <w:jc w:val="both"/>
              <w:rPr>
                <w:rFonts w:ascii="Arial" w:hAnsi="Arial" w:cs="Arial"/>
                <w:sz w:val="24"/>
                <w:szCs w:val="24"/>
              </w:rPr>
            </w:pPr>
            <w:r w:rsidRPr="00E8774E">
              <w:rPr>
                <w:rFonts w:ascii="Arial" w:hAnsi="Arial" w:cs="Arial"/>
                <w:sz w:val="24"/>
                <w:szCs w:val="24"/>
              </w:rPr>
              <w:t xml:space="preserve">copia dell’ultimo rapporto sulla situazione del personale maschile e femminile prodotto al momento di presentazione della domanda di partecipazione o dell’offerta </w:t>
            </w:r>
            <w:r w:rsidR="00C922D9" w:rsidRPr="00E8774E">
              <w:rPr>
                <w:rFonts w:ascii="Arial" w:hAnsi="Arial" w:cs="Arial"/>
                <w:sz w:val="24"/>
                <w:szCs w:val="24"/>
              </w:rPr>
              <w:t>da parte degli operatori economici tenuti, ai sensi dell’art. 46, del D.lgs. 198/2006 alla sua redazione (operatori che occupano oltre 50 dipendenti).</w:t>
            </w:r>
            <w:r w:rsidR="005B7241" w:rsidRPr="00E8774E">
              <w:rPr>
                <w:rFonts w:ascii="Arial" w:hAnsi="Arial" w:cs="Arial"/>
                <w:sz w:val="24"/>
                <w:szCs w:val="24"/>
              </w:rPr>
              <w:t xml:space="preserve"> Tale rapporto va trasmesso</w:t>
            </w:r>
            <w:bookmarkStart w:id="0" w:name="_GoBack"/>
            <w:bookmarkEnd w:id="0"/>
            <w:r w:rsidR="005B7241" w:rsidRPr="00E8774E">
              <w:rPr>
                <w:rFonts w:ascii="Arial" w:hAnsi="Arial" w:cs="Arial"/>
                <w:sz w:val="24"/>
                <w:szCs w:val="24"/>
              </w:rPr>
              <w:t xml:space="preserve"> alla Presidenza del Consiglio dei Ministri ovvero ai Ministri o alle Autorità delegati per le pari opportunità e della famiglia e per le politiche giovanili e il servizio civile universale.</w:t>
            </w:r>
          </w:p>
          <w:p w14:paraId="38F2D931" w14:textId="27F6DA92" w:rsidR="0072716E" w:rsidRPr="00E8774E" w:rsidRDefault="0072716E" w:rsidP="000C324F">
            <w:pPr>
              <w:jc w:val="both"/>
              <w:rPr>
                <w:rFonts w:ascii="Arial" w:hAnsi="Arial" w:cs="Arial"/>
                <w:sz w:val="24"/>
                <w:szCs w:val="24"/>
              </w:rPr>
            </w:pPr>
          </w:p>
        </w:tc>
        <w:tc>
          <w:tcPr>
            <w:tcW w:w="2694" w:type="dxa"/>
          </w:tcPr>
          <w:p w14:paraId="6E797CE3" w14:textId="77777777" w:rsidR="006812EB" w:rsidRPr="00E8774E" w:rsidRDefault="006812EB" w:rsidP="00867EA5">
            <w:pPr>
              <w:jc w:val="both"/>
              <w:rPr>
                <w:rFonts w:ascii="Arial" w:hAnsi="Arial" w:cs="Arial"/>
                <w:sz w:val="24"/>
                <w:szCs w:val="24"/>
              </w:rPr>
            </w:pPr>
          </w:p>
          <w:p w14:paraId="5A38DF07" w14:textId="37B8FBD0" w:rsidR="00C76906" w:rsidRPr="00E8774E" w:rsidRDefault="00C76906" w:rsidP="00867EA5">
            <w:pPr>
              <w:jc w:val="both"/>
              <w:rPr>
                <w:rFonts w:ascii="Arial" w:hAnsi="Arial" w:cs="Arial"/>
                <w:sz w:val="24"/>
                <w:szCs w:val="24"/>
              </w:rPr>
            </w:pPr>
            <w:r w:rsidRPr="00E8774E">
              <w:rPr>
                <w:rFonts w:ascii="Arial" w:hAnsi="Arial" w:cs="Arial"/>
                <w:sz w:val="24"/>
                <w:szCs w:val="24"/>
              </w:rPr>
              <w:t xml:space="preserve">Art. 47 D.L. n. 77/2021 </w:t>
            </w:r>
            <w:proofErr w:type="spellStart"/>
            <w:r w:rsidRPr="00E8774E">
              <w:rPr>
                <w:rFonts w:ascii="Arial" w:hAnsi="Arial" w:cs="Arial"/>
                <w:sz w:val="24"/>
                <w:szCs w:val="24"/>
              </w:rPr>
              <w:t>conv</w:t>
            </w:r>
            <w:proofErr w:type="spellEnd"/>
            <w:r w:rsidRPr="00E8774E">
              <w:rPr>
                <w:rFonts w:ascii="Arial" w:hAnsi="Arial" w:cs="Arial"/>
                <w:sz w:val="24"/>
                <w:szCs w:val="24"/>
              </w:rPr>
              <w:t xml:space="preserve">. </w:t>
            </w:r>
            <w:r w:rsidR="00091B32" w:rsidRPr="00E8774E">
              <w:rPr>
                <w:rFonts w:ascii="Arial" w:hAnsi="Arial" w:cs="Arial"/>
                <w:sz w:val="24"/>
                <w:szCs w:val="24"/>
              </w:rPr>
              <w:t>i</w:t>
            </w:r>
            <w:r w:rsidRPr="00E8774E">
              <w:rPr>
                <w:rFonts w:ascii="Arial" w:hAnsi="Arial" w:cs="Arial"/>
                <w:sz w:val="24"/>
                <w:szCs w:val="24"/>
              </w:rPr>
              <w:t>n l. n. 108/2021;</w:t>
            </w:r>
          </w:p>
          <w:p w14:paraId="134728E6" w14:textId="3703E7F4" w:rsidR="00C76906" w:rsidRPr="00E8774E" w:rsidRDefault="00C76906" w:rsidP="00867EA5">
            <w:pPr>
              <w:jc w:val="both"/>
              <w:rPr>
                <w:rFonts w:ascii="Arial" w:hAnsi="Arial" w:cs="Arial"/>
                <w:sz w:val="24"/>
                <w:szCs w:val="24"/>
              </w:rPr>
            </w:pPr>
            <w:r w:rsidRPr="00E8774E">
              <w:rPr>
                <w:rFonts w:ascii="Arial" w:hAnsi="Arial" w:cs="Arial"/>
                <w:sz w:val="24"/>
                <w:szCs w:val="24"/>
              </w:rPr>
              <w:lastRenderedPageBreak/>
              <w:t xml:space="preserve">Linee guida </w:t>
            </w:r>
            <w:proofErr w:type="spellStart"/>
            <w:r w:rsidRPr="00E8774E">
              <w:rPr>
                <w:rFonts w:ascii="Arial" w:hAnsi="Arial" w:cs="Arial"/>
                <w:sz w:val="24"/>
                <w:szCs w:val="24"/>
              </w:rPr>
              <w:t>PdC</w:t>
            </w:r>
            <w:proofErr w:type="spellEnd"/>
            <w:r w:rsidRPr="00E8774E">
              <w:rPr>
                <w:rFonts w:ascii="Arial" w:hAnsi="Arial" w:cs="Arial"/>
                <w:sz w:val="24"/>
                <w:szCs w:val="24"/>
              </w:rPr>
              <w:t xml:space="preserve"> decreto 7/12/2021</w:t>
            </w:r>
            <w:r w:rsidR="0071708B">
              <w:rPr>
                <w:rFonts w:ascii="Arial" w:hAnsi="Arial" w:cs="Arial"/>
                <w:sz w:val="24"/>
                <w:szCs w:val="24"/>
              </w:rPr>
              <w:t>;</w:t>
            </w:r>
          </w:p>
          <w:p w14:paraId="7CE1844B" w14:textId="729D2F33" w:rsidR="000C776F" w:rsidRPr="00E8774E" w:rsidRDefault="000C776F" w:rsidP="00867EA5">
            <w:pPr>
              <w:jc w:val="both"/>
              <w:rPr>
                <w:rFonts w:ascii="Arial" w:hAnsi="Arial" w:cs="Arial"/>
                <w:sz w:val="24"/>
                <w:szCs w:val="24"/>
              </w:rPr>
            </w:pPr>
          </w:p>
          <w:p w14:paraId="1851BE65" w14:textId="736CA043" w:rsidR="000C776F" w:rsidRPr="00E8774E" w:rsidRDefault="000C776F" w:rsidP="00867EA5">
            <w:pPr>
              <w:jc w:val="both"/>
              <w:rPr>
                <w:rFonts w:ascii="Arial" w:hAnsi="Arial" w:cs="Arial"/>
                <w:sz w:val="24"/>
                <w:szCs w:val="24"/>
              </w:rPr>
            </w:pPr>
            <w:r w:rsidRPr="00E8774E">
              <w:rPr>
                <w:rFonts w:ascii="Arial" w:hAnsi="Arial" w:cs="Arial"/>
                <w:sz w:val="24"/>
                <w:szCs w:val="24"/>
              </w:rPr>
              <w:t xml:space="preserve">D.L. 76/2020, art. 1, co. 2, </w:t>
            </w:r>
            <w:proofErr w:type="spellStart"/>
            <w:r w:rsidRPr="00E8774E">
              <w:rPr>
                <w:rFonts w:ascii="Arial" w:hAnsi="Arial" w:cs="Arial"/>
                <w:sz w:val="24"/>
                <w:szCs w:val="24"/>
              </w:rPr>
              <w:t>lett.a</w:t>
            </w:r>
            <w:proofErr w:type="spellEnd"/>
            <w:r w:rsidRPr="00E8774E">
              <w:rPr>
                <w:rFonts w:ascii="Arial" w:hAnsi="Arial" w:cs="Arial"/>
                <w:sz w:val="24"/>
                <w:szCs w:val="24"/>
              </w:rPr>
              <w:t>) e b) (applicabile temporaneamente)</w:t>
            </w:r>
            <w:r w:rsidR="00E71EB9" w:rsidRPr="00E8774E">
              <w:rPr>
                <w:rFonts w:ascii="Arial" w:hAnsi="Arial" w:cs="Arial"/>
                <w:sz w:val="24"/>
                <w:szCs w:val="24"/>
              </w:rPr>
              <w:t xml:space="preserve"> e</w:t>
            </w:r>
            <w:r w:rsidRPr="00E8774E">
              <w:rPr>
                <w:rFonts w:ascii="Arial" w:hAnsi="Arial" w:cs="Arial"/>
                <w:sz w:val="24"/>
                <w:szCs w:val="24"/>
              </w:rPr>
              <w:t xml:space="preserve"> </w:t>
            </w:r>
          </w:p>
          <w:p w14:paraId="13289E68" w14:textId="2BE63AE2" w:rsidR="000C776F" w:rsidRPr="00E8774E" w:rsidRDefault="000C776F" w:rsidP="00867EA5">
            <w:pPr>
              <w:jc w:val="both"/>
              <w:rPr>
                <w:rFonts w:ascii="Arial" w:hAnsi="Arial" w:cs="Arial"/>
                <w:sz w:val="24"/>
                <w:szCs w:val="24"/>
              </w:rPr>
            </w:pPr>
            <w:r w:rsidRPr="00E8774E">
              <w:rPr>
                <w:rFonts w:ascii="Arial" w:hAnsi="Arial" w:cs="Arial"/>
                <w:sz w:val="24"/>
                <w:szCs w:val="24"/>
              </w:rPr>
              <w:t>art. 14 comma 4 D.L. 13/2023</w:t>
            </w:r>
            <w:r w:rsidR="0071708B">
              <w:rPr>
                <w:rFonts w:ascii="Arial" w:hAnsi="Arial" w:cs="Arial"/>
                <w:sz w:val="24"/>
                <w:szCs w:val="24"/>
              </w:rPr>
              <w:t>;</w:t>
            </w:r>
          </w:p>
          <w:p w14:paraId="7D9A5B5A" w14:textId="77777777" w:rsidR="005A4BBA" w:rsidRPr="00E8774E" w:rsidRDefault="005A4BBA" w:rsidP="00867EA5">
            <w:pPr>
              <w:jc w:val="both"/>
              <w:rPr>
                <w:rFonts w:ascii="Arial" w:hAnsi="Arial" w:cs="Arial"/>
                <w:sz w:val="24"/>
                <w:szCs w:val="24"/>
              </w:rPr>
            </w:pPr>
          </w:p>
          <w:p w14:paraId="5B20C218" w14:textId="77777777" w:rsidR="005A4BBA" w:rsidRPr="00E8774E" w:rsidRDefault="005A4BBA" w:rsidP="00867EA5">
            <w:pPr>
              <w:jc w:val="both"/>
              <w:rPr>
                <w:rFonts w:ascii="Arial" w:hAnsi="Arial" w:cs="Arial"/>
                <w:sz w:val="24"/>
                <w:szCs w:val="24"/>
              </w:rPr>
            </w:pPr>
          </w:p>
          <w:p w14:paraId="5B0E1AB7" w14:textId="3A6DAF44" w:rsidR="005A4BBA" w:rsidRPr="00E8774E" w:rsidRDefault="007803A1" w:rsidP="00867EA5">
            <w:pPr>
              <w:jc w:val="both"/>
              <w:rPr>
                <w:rFonts w:ascii="Arial" w:hAnsi="Arial" w:cs="Arial"/>
                <w:sz w:val="24"/>
                <w:szCs w:val="24"/>
              </w:rPr>
            </w:pPr>
            <w:r w:rsidRPr="00E8774E">
              <w:rPr>
                <w:rFonts w:ascii="Arial" w:hAnsi="Arial" w:cs="Arial"/>
                <w:sz w:val="24"/>
                <w:szCs w:val="24"/>
              </w:rPr>
              <w:t>ALLEGATO AL PNA 2022 N. 9)</w:t>
            </w:r>
            <w:r w:rsidR="0071708B">
              <w:rPr>
                <w:rFonts w:ascii="Arial" w:hAnsi="Arial" w:cs="Arial"/>
                <w:sz w:val="24"/>
                <w:szCs w:val="24"/>
              </w:rPr>
              <w:t>;</w:t>
            </w:r>
          </w:p>
          <w:p w14:paraId="41BEC3D0" w14:textId="77777777" w:rsidR="005A4BBA" w:rsidRPr="00E8774E" w:rsidRDefault="005A4BBA" w:rsidP="00867EA5">
            <w:pPr>
              <w:jc w:val="both"/>
              <w:rPr>
                <w:rFonts w:ascii="Arial" w:hAnsi="Arial" w:cs="Arial"/>
                <w:sz w:val="24"/>
                <w:szCs w:val="24"/>
              </w:rPr>
            </w:pPr>
          </w:p>
          <w:p w14:paraId="57830A29" w14:textId="1CE9A244" w:rsidR="005A4BBA" w:rsidRPr="00E8774E" w:rsidRDefault="00972DB4" w:rsidP="00867EA5">
            <w:pPr>
              <w:jc w:val="both"/>
              <w:rPr>
                <w:rFonts w:ascii="Arial" w:hAnsi="Arial" w:cs="Arial"/>
                <w:color w:val="0563C1" w:themeColor="hyperlink"/>
                <w:sz w:val="24"/>
                <w:szCs w:val="24"/>
                <w:u w:val="single"/>
              </w:rPr>
            </w:pPr>
            <w:r w:rsidRPr="00E8774E">
              <w:rPr>
                <w:rFonts w:ascii="Arial" w:hAnsi="Arial" w:cs="Arial"/>
                <w:sz w:val="24"/>
                <w:szCs w:val="24"/>
              </w:rPr>
              <w:t>A</w:t>
            </w:r>
            <w:r w:rsidR="005A4BBA" w:rsidRPr="00E8774E">
              <w:rPr>
                <w:rFonts w:ascii="Arial" w:hAnsi="Arial" w:cs="Arial"/>
                <w:sz w:val="24"/>
                <w:szCs w:val="24"/>
              </w:rPr>
              <w:t>rt</w:t>
            </w:r>
            <w:r w:rsidRPr="00E8774E">
              <w:rPr>
                <w:rFonts w:ascii="Arial" w:hAnsi="Arial" w:cs="Arial"/>
                <w:sz w:val="24"/>
                <w:szCs w:val="24"/>
              </w:rPr>
              <w:t>t</w:t>
            </w:r>
            <w:r w:rsidR="005A4BBA" w:rsidRPr="00E8774E">
              <w:rPr>
                <w:rFonts w:ascii="Arial" w:hAnsi="Arial" w:cs="Arial"/>
                <w:sz w:val="24"/>
                <w:szCs w:val="24"/>
              </w:rPr>
              <w:t>. 37 c.1 lett. b) d.lgs. 33/2013</w:t>
            </w:r>
            <w:r w:rsidR="0071708B">
              <w:rPr>
                <w:rFonts w:ascii="Arial" w:hAnsi="Arial" w:cs="Arial"/>
                <w:sz w:val="24"/>
                <w:szCs w:val="24"/>
              </w:rPr>
              <w:t>.</w:t>
            </w:r>
            <w:hyperlink r:id="rId8" w:history="1"/>
          </w:p>
        </w:tc>
        <w:tc>
          <w:tcPr>
            <w:tcW w:w="2685" w:type="dxa"/>
          </w:tcPr>
          <w:p w14:paraId="0A119B9F" w14:textId="77777777" w:rsidR="006812EB" w:rsidRPr="00E8774E" w:rsidRDefault="006812EB" w:rsidP="00867EA5">
            <w:pPr>
              <w:jc w:val="both"/>
              <w:rPr>
                <w:rFonts w:ascii="Arial" w:hAnsi="Arial" w:cs="Arial"/>
                <w:sz w:val="24"/>
                <w:szCs w:val="24"/>
              </w:rPr>
            </w:pPr>
          </w:p>
          <w:p w14:paraId="5929AD2C" w14:textId="5BBF551B" w:rsidR="00C76906" w:rsidRPr="00E8774E" w:rsidRDefault="00C76906" w:rsidP="00867EA5">
            <w:pPr>
              <w:jc w:val="both"/>
              <w:rPr>
                <w:rFonts w:ascii="Arial" w:hAnsi="Arial" w:cs="Arial"/>
                <w:sz w:val="24"/>
                <w:szCs w:val="24"/>
              </w:rPr>
            </w:pPr>
            <w:r w:rsidRPr="00E8774E">
              <w:rPr>
                <w:rFonts w:ascii="Arial" w:hAnsi="Arial" w:cs="Arial"/>
                <w:sz w:val="24"/>
                <w:szCs w:val="24"/>
              </w:rPr>
              <w:t>RUP</w:t>
            </w:r>
          </w:p>
        </w:tc>
      </w:tr>
      <w:tr w:rsidR="00257CA5" w:rsidRPr="00E8774E" w14:paraId="3850FF6D" w14:textId="77777777" w:rsidTr="00575582">
        <w:tc>
          <w:tcPr>
            <w:tcW w:w="15871" w:type="dxa"/>
          </w:tcPr>
          <w:p w14:paraId="077705CA" w14:textId="77777777" w:rsidR="00257CA5" w:rsidRPr="00E8774E" w:rsidRDefault="00257CA5"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Adempimenti nei confronti dell’ANAC</w:t>
            </w:r>
          </w:p>
          <w:p w14:paraId="5B6A6FD5" w14:textId="276AB579" w:rsidR="00257CA5" w:rsidRPr="00E8774E" w:rsidRDefault="00257CA5" w:rsidP="00867EA5">
            <w:pPr>
              <w:pStyle w:val="Paragrafoelenco"/>
              <w:numPr>
                <w:ilvl w:val="0"/>
                <w:numId w:val="11"/>
              </w:numPr>
              <w:jc w:val="both"/>
              <w:rPr>
                <w:rFonts w:ascii="Arial" w:hAnsi="Arial" w:cs="Arial"/>
                <w:sz w:val="24"/>
                <w:szCs w:val="24"/>
              </w:rPr>
            </w:pPr>
            <w:r w:rsidRPr="00E8774E">
              <w:rPr>
                <w:rFonts w:ascii="Arial" w:hAnsi="Arial" w:cs="Arial"/>
                <w:sz w:val="24"/>
                <w:szCs w:val="24"/>
              </w:rPr>
              <w:t>Richiesta CIG ordinario</w:t>
            </w:r>
            <w:r w:rsidR="00D12A59" w:rsidRPr="00E8774E">
              <w:rPr>
                <w:rFonts w:ascii="Arial" w:hAnsi="Arial" w:cs="Arial"/>
                <w:sz w:val="24"/>
                <w:szCs w:val="24"/>
              </w:rPr>
              <w:t>, a prescindere dall’importo dell’acquisto;</w:t>
            </w:r>
          </w:p>
          <w:p w14:paraId="6D5DA0AB" w14:textId="79DD4D2B" w:rsidR="00257CA5" w:rsidRPr="00E8774E" w:rsidRDefault="00257CA5" w:rsidP="00867EA5">
            <w:pPr>
              <w:pStyle w:val="Paragrafoelenco"/>
              <w:numPr>
                <w:ilvl w:val="0"/>
                <w:numId w:val="11"/>
              </w:numPr>
              <w:jc w:val="both"/>
              <w:rPr>
                <w:rFonts w:ascii="Arial" w:hAnsi="Arial" w:cs="Arial"/>
                <w:sz w:val="24"/>
                <w:szCs w:val="24"/>
              </w:rPr>
            </w:pPr>
            <w:r w:rsidRPr="00E8774E">
              <w:rPr>
                <w:rFonts w:ascii="Arial" w:hAnsi="Arial" w:cs="Arial"/>
                <w:sz w:val="24"/>
                <w:szCs w:val="24"/>
              </w:rPr>
              <w:t xml:space="preserve">Valorizzazione delle apposite caselle messe a disposizione </w:t>
            </w:r>
            <w:r w:rsidR="00D12A59" w:rsidRPr="00E8774E">
              <w:rPr>
                <w:rFonts w:ascii="Arial" w:hAnsi="Arial" w:cs="Arial"/>
                <w:sz w:val="24"/>
                <w:szCs w:val="24"/>
              </w:rPr>
              <w:t>sul</w:t>
            </w:r>
            <w:r w:rsidRPr="00E8774E">
              <w:rPr>
                <w:rFonts w:ascii="Arial" w:hAnsi="Arial" w:cs="Arial"/>
                <w:sz w:val="24"/>
                <w:szCs w:val="24"/>
              </w:rPr>
              <w:t xml:space="preserve"> sistema SIMOG;</w:t>
            </w:r>
          </w:p>
          <w:p w14:paraId="0C6FBCED" w14:textId="39E653E5" w:rsidR="00257CA5" w:rsidRPr="00E8774E" w:rsidRDefault="00257CA5" w:rsidP="00867EA5">
            <w:pPr>
              <w:pStyle w:val="Paragrafoelenco"/>
              <w:numPr>
                <w:ilvl w:val="0"/>
                <w:numId w:val="11"/>
              </w:numPr>
              <w:jc w:val="both"/>
              <w:rPr>
                <w:rFonts w:ascii="Arial" w:hAnsi="Arial" w:cs="Arial"/>
                <w:sz w:val="24"/>
                <w:szCs w:val="24"/>
              </w:rPr>
            </w:pPr>
            <w:r w:rsidRPr="00E8774E">
              <w:rPr>
                <w:rFonts w:ascii="Arial" w:hAnsi="Arial" w:cs="Arial"/>
                <w:sz w:val="24"/>
                <w:szCs w:val="24"/>
              </w:rPr>
              <w:t>Comunicazione delle specifiche ipotesi di esclusione e di applicazione delle penali per inadempimento attraverso la compilazione dei modelli informatici messi a disposizione dall’AN</w:t>
            </w:r>
            <w:r w:rsidR="00D12A59" w:rsidRPr="00E8774E">
              <w:rPr>
                <w:rFonts w:ascii="Arial" w:hAnsi="Arial" w:cs="Arial"/>
                <w:sz w:val="24"/>
                <w:szCs w:val="24"/>
              </w:rPr>
              <w:t>A</w:t>
            </w:r>
            <w:r w:rsidRPr="00E8774E">
              <w:rPr>
                <w:rFonts w:ascii="Arial" w:hAnsi="Arial" w:cs="Arial"/>
                <w:sz w:val="24"/>
                <w:szCs w:val="24"/>
              </w:rPr>
              <w:t>C.</w:t>
            </w:r>
          </w:p>
        </w:tc>
        <w:tc>
          <w:tcPr>
            <w:tcW w:w="2694" w:type="dxa"/>
          </w:tcPr>
          <w:p w14:paraId="4C3E27F3" w14:textId="77777777" w:rsidR="00257CA5" w:rsidRPr="00E8774E" w:rsidRDefault="00257CA5" w:rsidP="00867EA5">
            <w:pPr>
              <w:jc w:val="both"/>
              <w:rPr>
                <w:rFonts w:ascii="Arial" w:hAnsi="Arial" w:cs="Arial"/>
                <w:sz w:val="24"/>
                <w:szCs w:val="24"/>
              </w:rPr>
            </w:pPr>
          </w:p>
          <w:p w14:paraId="35AF7676" w14:textId="4A02C705" w:rsidR="00257CA5" w:rsidRPr="00E8774E" w:rsidRDefault="00257CA5" w:rsidP="00867EA5">
            <w:pPr>
              <w:jc w:val="both"/>
              <w:rPr>
                <w:rFonts w:ascii="Arial" w:hAnsi="Arial" w:cs="Arial"/>
                <w:sz w:val="24"/>
                <w:szCs w:val="24"/>
              </w:rPr>
            </w:pPr>
            <w:r w:rsidRPr="00E8774E">
              <w:rPr>
                <w:rFonts w:ascii="Arial" w:hAnsi="Arial" w:cs="Arial"/>
                <w:sz w:val="24"/>
                <w:szCs w:val="24"/>
              </w:rPr>
              <w:t xml:space="preserve">Delibera </w:t>
            </w:r>
            <w:r w:rsidR="00091B32" w:rsidRPr="00E8774E">
              <w:rPr>
                <w:rFonts w:ascii="Arial" w:hAnsi="Arial" w:cs="Arial"/>
                <w:sz w:val="24"/>
                <w:szCs w:val="24"/>
              </w:rPr>
              <w:t xml:space="preserve">ANAC </w:t>
            </w:r>
            <w:r w:rsidRPr="00E8774E">
              <w:rPr>
                <w:rFonts w:ascii="Arial" w:hAnsi="Arial" w:cs="Arial"/>
                <w:sz w:val="24"/>
                <w:szCs w:val="24"/>
              </w:rPr>
              <w:t>n. 122 del 16/02/2022</w:t>
            </w:r>
            <w:r w:rsidR="0071708B">
              <w:rPr>
                <w:rFonts w:ascii="Arial" w:hAnsi="Arial" w:cs="Arial"/>
                <w:sz w:val="24"/>
                <w:szCs w:val="24"/>
              </w:rPr>
              <w:t>.</w:t>
            </w:r>
          </w:p>
        </w:tc>
        <w:tc>
          <w:tcPr>
            <w:tcW w:w="2685" w:type="dxa"/>
          </w:tcPr>
          <w:p w14:paraId="1C61A0DD" w14:textId="77777777" w:rsidR="00257CA5" w:rsidRPr="00E8774E" w:rsidRDefault="00257CA5" w:rsidP="00867EA5">
            <w:pPr>
              <w:jc w:val="both"/>
              <w:rPr>
                <w:rFonts w:ascii="Arial" w:hAnsi="Arial" w:cs="Arial"/>
                <w:sz w:val="24"/>
                <w:szCs w:val="24"/>
              </w:rPr>
            </w:pPr>
          </w:p>
          <w:p w14:paraId="276066B5" w14:textId="4F6D2065" w:rsidR="00257CA5" w:rsidRPr="00E8774E" w:rsidRDefault="00257CA5" w:rsidP="00867EA5">
            <w:pPr>
              <w:jc w:val="both"/>
              <w:rPr>
                <w:rFonts w:ascii="Arial" w:hAnsi="Arial" w:cs="Arial"/>
                <w:sz w:val="24"/>
                <w:szCs w:val="24"/>
              </w:rPr>
            </w:pPr>
            <w:r w:rsidRPr="00E8774E">
              <w:rPr>
                <w:rFonts w:ascii="Arial" w:hAnsi="Arial" w:cs="Arial"/>
                <w:sz w:val="24"/>
                <w:szCs w:val="24"/>
              </w:rPr>
              <w:t>RUP</w:t>
            </w:r>
          </w:p>
        </w:tc>
      </w:tr>
      <w:tr w:rsidR="00292CCA" w:rsidRPr="00E8774E" w14:paraId="00DF5A08" w14:textId="77777777" w:rsidTr="00575582">
        <w:tc>
          <w:tcPr>
            <w:tcW w:w="15871" w:type="dxa"/>
          </w:tcPr>
          <w:p w14:paraId="307A30AF" w14:textId="77777777" w:rsidR="00292CCA" w:rsidRPr="00E8774E" w:rsidRDefault="00292CCA"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Stipula del contratto</w:t>
            </w:r>
          </w:p>
          <w:p w14:paraId="50C6D27A" w14:textId="4AE5F2D4" w:rsidR="00292CCA" w:rsidRPr="00E8774E" w:rsidRDefault="00292CCA" w:rsidP="00867EA5">
            <w:pPr>
              <w:pStyle w:val="Paragrafoelenco"/>
              <w:jc w:val="both"/>
              <w:rPr>
                <w:rFonts w:ascii="Arial" w:hAnsi="Arial" w:cs="Arial"/>
                <w:sz w:val="24"/>
                <w:szCs w:val="24"/>
              </w:rPr>
            </w:pPr>
            <w:r w:rsidRPr="00E8774E">
              <w:rPr>
                <w:rFonts w:ascii="Arial" w:hAnsi="Arial" w:cs="Arial"/>
                <w:sz w:val="24"/>
                <w:szCs w:val="24"/>
              </w:rPr>
              <w:t>Prima della stipula del contratto, il contraente deve reiterare la dichiarazione relativa all’assenza di conflitto di interessi</w:t>
            </w:r>
            <w:r w:rsidR="000D1104" w:rsidRPr="00E8774E">
              <w:rPr>
                <w:rFonts w:ascii="Arial" w:hAnsi="Arial" w:cs="Arial"/>
                <w:sz w:val="24"/>
                <w:szCs w:val="24"/>
              </w:rPr>
              <w:t>, dandone</w:t>
            </w:r>
            <w:r w:rsidR="00F22AF7" w:rsidRPr="00E8774E">
              <w:rPr>
                <w:rFonts w:ascii="Arial" w:hAnsi="Arial" w:cs="Arial"/>
                <w:sz w:val="24"/>
                <w:szCs w:val="24"/>
              </w:rPr>
              <w:t xml:space="preserve"> atto nel contratto</w:t>
            </w:r>
            <w:r w:rsidR="000D1104" w:rsidRPr="00E8774E">
              <w:rPr>
                <w:rFonts w:ascii="Arial" w:hAnsi="Arial" w:cs="Arial"/>
                <w:sz w:val="24"/>
                <w:szCs w:val="24"/>
              </w:rPr>
              <w:t>.</w:t>
            </w:r>
          </w:p>
        </w:tc>
        <w:tc>
          <w:tcPr>
            <w:tcW w:w="2694" w:type="dxa"/>
          </w:tcPr>
          <w:p w14:paraId="76856138" w14:textId="6799ED1F" w:rsidR="00292CCA" w:rsidRPr="00E8774E" w:rsidRDefault="00292CCA" w:rsidP="00867EA5">
            <w:pPr>
              <w:jc w:val="both"/>
              <w:rPr>
                <w:rFonts w:ascii="Arial" w:hAnsi="Arial" w:cs="Arial"/>
                <w:sz w:val="24"/>
                <w:szCs w:val="24"/>
              </w:rPr>
            </w:pPr>
            <w:r w:rsidRPr="00E8774E">
              <w:rPr>
                <w:rFonts w:ascii="Arial" w:hAnsi="Arial" w:cs="Arial"/>
                <w:sz w:val="24"/>
                <w:szCs w:val="24"/>
              </w:rPr>
              <w:t>Linee guida MEF</w:t>
            </w:r>
            <w:r w:rsidR="0071708B">
              <w:rPr>
                <w:rFonts w:ascii="Arial" w:hAnsi="Arial" w:cs="Arial"/>
                <w:sz w:val="24"/>
                <w:szCs w:val="24"/>
              </w:rPr>
              <w:t>.</w:t>
            </w:r>
          </w:p>
        </w:tc>
        <w:tc>
          <w:tcPr>
            <w:tcW w:w="2685" w:type="dxa"/>
          </w:tcPr>
          <w:p w14:paraId="75EF8572" w14:textId="7ECB14D9" w:rsidR="00292CCA" w:rsidRPr="00E8774E" w:rsidRDefault="00292CCA" w:rsidP="00867EA5">
            <w:pPr>
              <w:jc w:val="both"/>
              <w:rPr>
                <w:rFonts w:ascii="Arial" w:hAnsi="Arial" w:cs="Arial"/>
                <w:sz w:val="24"/>
                <w:szCs w:val="24"/>
              </w:rPr>
            </w:pPr>
            <w:r w:rsidRPr="00E8774E">
              <w:rPr>
                <w:rFonts w:ascii="Arial" w:hAnsi="Arial" w:cs="Arial"/>
                <w:sz w:val="24"/>
                <w:szCs w:val="24"/>
              </w:rPr>
              <w:t>Ufficio competente per la stipula del contratto</w:t>
            </w:r>
          </w:p>
        </w:tc>
      </w:tr>
      <w:tr w:rsidR="005D6162" w:rsidRPr="00E8774E" w14:paraId="4430DF9A" w14:textId="77777777" w:rsidTr="00575582">
        <w:tc>
          <w:tcPr>
            <w:tcW w:w="15871" w:type="dxa"/>
          </w:tcPr>
          <w:p w14:paraId="630728E0" w14:textId="6AE180DE" w:rsidR="005D6162" w:rsidRPr="00E8774E" w:rsidRDefault="005D6162"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Controlli e inserimento dati nel siste</w:t>
            </w:r>
            <w:r w:rsidR="002421E7" w:rsidRPr="00E8774E">
              <w:rPr>
                <w:rFonts w:ascii="Arial" w:hAnsi="Arial" w:cs="Arial"/>
                <w:b/>
                <w:sz w:val="24"/>
                <w:szCs w:val="24"/>
              </w:rPr>
              <w:t>m</w:t>
            </w:r>
            <w:r w:rsidRPr="00E8774E">
              <w:rPr>
                <w:rFonts w:ascii="Arial" w:hAnsi="Arial" w:cs="Arial"/>
                <w:b/>
                <w:sz w:val="24"/>
                <w:szCs w:val="24"/>
              </w:rPr>
              <w:t>a informati</w:t>
            </w:r>
            <w:r w:rsidR="00D12A59" w:rsidRPr="00E8774E">
              <w:rPr>
                <w:rFonts w:ascii="Arial" w:hAnsi="Arial" w:cs="Arial"/>
                <w:b/>
                <w:sz w:val="24"/>
                <w:szCs w:val="24"/>
              </w:rPr>
              <w:t>v</w:t>
            </w:r>
            <w:r w:rsidRPr="00E8774E">
              <w:rPr>
                <w:rFonts w:ascii="Arial" w:hAnsi="Arial" w:cs="Arial"/>
                <w:b/>
                <w:sz w:val="24"/>
                <w:szCs w:val="24"/>
              </w:rPr>
              <w:t>o</w:t>
            </w:r>
          </w:p>
          <w:p w14:paraId="1D525EFB" w14:textId="38DFBEF5" w:rsidR="00B36D76" w:rsidRPr="00E8774E" w:rsidRDefault="002421E7" w:rsidP="00867EA5">
            <w:pPr>
              <w:pStyle w:val="Paragrafoelenco"/>
              <w:jc w:val="both"/>
              <w:rPr>
                <w:rFonts w:ascii="Arial" w:hAnsi="Arial" w:cs="Arial"/>
                <w:sz w:val="24"/>
                <w:szCs w:val="24"/>
              </w:rPr>
            </w:pPr>
            <w:r w:rsidRPr="00E8774E">
              <w:rPr>
                <w:rFonts w:ascii="Arial" w:hAnsi="Arial" w:cs="Arial"/>
                <w:sz w:val="24"/>
                <w:szCs w:val="24"/>
              </w:rPr>
              <w:t>Con cadenza mensile occorre effettuare i controlli ordinari amministrativo-contabili su tutti gli atti di competenza durante le principali fasi della procedura:</w:t>
            </w:r>
          </w:p>
          <w:p w14:paraId="3F0B319B" w14:textId="161F8F33" w:rsidR="002421E7" w:rsidRPr="00E8774E" w:rsidRDefault="002421E7" w:rsidP="00867EA5">
            <w:pPr>
              <w:pStyle w:val="Paragrafoelenco"/>
              <w:numPr>
                <w:ilvl w:val="0"/>
                <w:numId w:val="12"/>
              </w:numPr>
              <w:ind w:firstLine="283"/>
              <w:jc w:val="both"/>
              <w:rPr>
                <w:rFonts w:ascii="Arial" w:hAnsi="Arial" w:cs="Arial"/>
                <w:sz w:val="24"/>
                <w:szCs w:val="24"/>
              </w:rPr>
            </w:pPr>
            <w:r w:rsidRPr="00E8774E">
              <w:rPr>
                <w:rFonts w:ascii="Arial" w:hAnsi="Arial" w:cs="Arial"/>
                <w:sz w:val="24"/>
                <w:szCs w:val="24"/>
              </w:rPr>
              <w:t xml:space="preserve">approvazione e pubblicazione del bando di gara e relativi allegati (disciplinare-capitolato ecc.); </w:t>
            </w:r>
          </w:p>
          <w:p w14:paraId="2B7AD8E8" w14:textId="3264D164" w:rsidR="002421E7" w:rsidRPr="00E8774E" w:rsidRDefault="002421E7" w:rsidP="00867EA5">
            <w:pPr>
              <w:pStyle w:val="Paragrafoelenco"/>
              <w:numPr>
                <w:ilvl w:val="0"/>
                <w:numId w:val="12"/>
              </w:numPr>
              <w:ind w:firstLine="283"/>
              <w:jc w:val="both"/>
              <w:rPr>
                <w:rFonts w:ascii="Arial" w:hAnsi="Arial" w:cs="Arial"/>
                <w:sz w:val="24"/>
                <w:szCs w:val="24"/>
              </w:rPr>
            </w:pPr>
            <w:r w:rsidRPr="00E8774E">
              <w:rPr>
                <w:rFonts w:ascii="Arial" w:hAnsi="Arial" w:cs="Arial"/>
                <w:sz w:val="24"/>
                <w:szCs w:val="24"/>
              </w:rPr>
              <w:t xml:space="preserve">ricezione e istruttoria delle domande di partecipazione; </w:t>
            </w:r>
          </w:p>
          <w:p w14:paraId="22E00EB4" w14:textId="4F339FE4" w:rsidR="002421E7" w:rsidRPr="00E8774E" w:rsidRDefault="002421E7" w:rsidP="00867EA5">
            <w:pPr>
              <w:pStyle w:val="Paragrafoelenco"/>
              <w:numPr>
                <w:ilvl w:val="0"/>
                <w:numId w:val="12"/>
              </w:numPr>
              <w:ind w:firstLine="283"/>
              <w:jc w:val="both"/>
              <w:rPr>
                <w:rFonts w:ascii="Arial" w:hAnsi="Arial" w:cs="Arial"/>
                <w:sz w:val="24"/>
                <w:szCs w:val="24"/>
              </w:rPr>
            </w:pPr>
            <w:r w:rsidRPr="00E8774E">
              <w:rPr>
                <w:rFonts w:ascii="Arial" w:hAnsi="Arial" w:cs="Arial"/>
                <w:sz w:val="24"/>
                <w:szCs w:val="24"/>
              </w:rPr>
              <w:t xml:space="preserve">nomina della commissione (laddove prevista); </w:t>
            </w:r>
          </w:p>
          <w:p w14:paraId="08A0E1BE" w14:textId="4E3C3441" w:rsidR="002421E7" w:rsidRPr="00E8774E" w:rsidRDefault="002421E7" w:rsidP="00867EA5">
            <w:pPr>
              <w:pStyle w:val="Paragrafoelenco"/>
              <w:numPr>
                <w:ilvl w:val="0"/>
                <w:numId w:val="12"/>
              </w:numPr>
              <w:ind w:firstLine="283"/>
              <w:jc w:val="both"/>
              <w:rPr>
                <w:rFonts w:ascii="Arial" w:hAnsi="Arial" w:cs="Arial"/>
                <w:sz w:val="24"/>
                <w:szCs w:val="24"/>
              </w:rPr>
            </w:pPr>
            <w:r w:rsidRPr="00E8774E">
              <w:rPr>
                <w:rFonts w:ascii="Arial" w:hAnsi="Arial" w:cs="Arial"/>
                <w:sz w:val="24"/>
                <w:szCs w:val="24"/>
              </w:rPr>
              <w:t xml:space="preserve">valutazione delle domande; </w:t>
            </w:r>
          </w:p>
          <w:p w14:paraId="1F00DB0A" w14:textId="6AF4D3E4" w:rsidR="002421E7" w:rsidRPr="00E8774E" w:rsidRDefault="00D12A59" w:rsidP="00867EA5">
            <w:pPr>
              <w:pStyle w:val="Paragrafoelenco"/>
              <w:numPr>
                <w:ilvl w:val="0"/>
                <w:numId w:val="12"/>
              </w:numPr>
              <w:ind w:firstLine="283"/>
              <w:jc w:val="both"/>
              <w:rPr>
                <w:rFonts w:ascii="Arial" w:hAnsi="Arial" w:cs="Arial"/>
                <w:sz w:val="24"/>
                <w:szCs w:val="24"/>
              </w:rPr>
            </w:pPr>
            <w:r w:rsidRPr="00E8774E">
              <w:rPr>
                <w:rFonts w:ascii="Arial" w:hAnsi="Arial" w:cs="Arial"/>
                <w:sz w:val="24"/>
                <w:szCs w:val="24"/>
              </w:rPr>
              <w:t xml:space="preserve">proposta di </w:t>
            </w:r>
            <w:r w:rsidR="002421E7" w:rsidRPr="00E8774E">
              <w:rPr>
                <w:rFonts w:ascii="Arial" w:hAnsi="Arial" w:cs="Arial"/>
                <w:sz w:val="24"/>
                <w:szCs w:val="24"/>
              </w:rPr>
              <w:t xml:space="preserve">aggiudicazione </w:t>
            </w:r>
            <w:r w:rsidRPr="00E8774E">
              <w:rPr>
                <w:rFonts w:ascii="Arial" w:hAnsi="Arial" w:cs="Arial"/>
                <w:sz w:val="24"/>
                <w:szCs w:val="24"/>
              </w:rPr>
              <w:t>e aggiudicazione</w:t>
            </w:r>
            <w:r w:rsidR="002421E7" w:rsidRPr="00E8774E">
              <w:rPr>
                <w:rFonts w:ascii="Arial" w:hAnsi="Arial" w:cs="Arial"/>
                <w:sz w:val="24"/>
                <w:szCs w:val="24"/>
              </w:rPr>
              <w:t xml:space="preserve">; </w:t>
            </w:r>
          </w:p>
          <w:p w14:paraId="7EDFDE21" w14:textId="21E6D66A" w:rsidR="002421E7" w:rsidRPr="00E8774E" w:rsidRDefault="002421E7" w:rsidP="00867EA5">
            <w:pPr>
              <w:pStyle w:val="Paragrafoelenco"/>
              <w:numPr>
                <w:ilvl w:val="0"/>
                <w:numId w:val="12"/>
              </w:numPr>
              <w:ind w:firstLine="283"/>
              <w:jc w:val="both"/>
              <w:rPr>
                <w:rFonts w:ascii="Arial" w:hAnsi="Arial" w:cs="Arial"/>
                <w:sz w:val="24"/>
                <w:szCs w:val="24"/>
              </w:rPr>
            </w:pPr>
            <w:r w:rsidRPr="00E8774E">
              <w:rPr>
                <w:rFonts w:ascii="Arial" w:hAnsi="Arial" w:cs="Arial"/>
                <w:sz w:val="24"/>
                <w:szCs w:val="24"/>
              </w:rPr>
              <w:t xml:space="preserve">stipula del contratto; </w:t>
            </w:r>
          </w:p>
          <w:p w14:paraId="6D598D79" w14:textId="6FC7B90A" w:rsidR="002421E7" w:rsidRPr="00E8774E" w:rsidRDefault="002421E7" w:rsidP="00867EA5">
            <w:pPr>
              <w:pStyle w:val="Paragrafoelenco"/>
              <w:numPr>
                <w:ilvl w:val="0"/>
                <w:numId w:val="12"/>
              </w:numPr>
              <w:spacing w:before="240"/>
              <w:ind w:firstLine="283"/>
              <w:jc w:val="both"/>
              <w:rPr>
                <w:rFonts w:ascii="Arial" w:hAnsi="Arial" w:cs="Arial"/>
                <w:sz w:val="24"/>
                <w:szCs w:val="24"/>
              </w:rPr>
            </w:pPr>
            <w:r w:rsidRPr="00E8774E">
              <w:rPr>
                <w:rFonts w:ascii="Arial" w:hAnsi="Arial" w:cs="Arial"/>
                <w:sz w:val="24"/>
                <w:szCs w:val="24"/>
              </w:rPr>
              <w:t>attuazione e collaudo ovvero accertamento di regolare esecuzione</w:t>
            </w:r>
            <w:r w:rsidR="00B36D76" w:rsidRPr="00E8774E">
              <w:rPr>
                <w:rFonts w:ascii="Arial" w:hAnsi="Arial" w:cs="Arial"/>
                <w:sz w:val="24"/>
                <w:szCs w:val="24"/>
              </w:rPr>
              <w:t>;</w:t>
            </w:r>
          </w:p>
          <w:p w14:paraId="287EEF60" w14:textId="77777777" w:rsidR="00337AC0" w:rsidRPr="00E8774E" w:rsidRDefault="00337AC0" w:rsidP="00867EA5">
            <w:pPr>
              <w:pStyle w:val="Paragrafoelenco"/>
              <w:spacing w:before="240"/>
              <w:jc w:val="both"/>
              <w:rPr>
                <w:rFonts w:ascii="Arial" w:hAnsi="Arial" w:cs="Arial"/>
                <w:sz w:val="16"/>
                <w:szCs w:val="16"/>
              </w:rPr>
            </w:pPr>
          </w:p>
          <w:p w14:paraId="589F67DB" w14:textId="169CE2B9" w:rsidR="002421E7" w:rsidRPr="00E8774E" w:rsidRDefault="002421E7" w:rsidP="00867EA5">
            <w:pPr>
              <w:pStyle w:val="Paragrafoelenco"/>
              <w:spacing w:before="240"/>
              <w:jc w:val="both"/>
              <w:rPr>
                <w:rFonts w:ascii="Arial" w:hAnsi="Arial" w:cs="Arial"/>
                <w:sz w:val="24"/>
                <w:szCs w:val="24"/>
              </w:rPr>
            </w:pPr>
            <w:r w:rsidRPr="00E8774E">
              <w:rPr>
                <w:rFonts w:ascii="Arial" w:hAnsi="Arial" w:cs="Arial"/>
                <w:sz w:val="24"/>
                <w:szCs w:val="24"/>
              </w:rPr>
              <w:t>Occorre verificare, durante l’esame della documentazione amministrativ</w:t>
            </w:r>
            <w:r w:rsidR="00337AC0" w:rsidRPr="00E8774E">
              <w:rPr>
                <w:rFonts w:ascii="Arial" w:hAnsi="Arial" w:cs="Arial"/>
                <w:sz w:val="24"/>
                <w:szCs w:val="24"/>
              </w:rPr>
              <w:t>a,</w:t>
            </w:r>
            <w:r w:rsidRPr="00E8774E">
              <w:rPr>
                <w:rFonts w:ascii="Arial" w:hAnsi="Arial" w:cs="Arial"/>
                <w:sz w:val="24"/>
                <w:szCs w:val="24"/>
              </w:rPr>
              <w:t xml:space="preserve"> presentata in sede di gara, la presenza delle dichiarazioni in ordine al titolare effettivo, all’assenza di conflitto di interessi, </w:t>
            </w:r>
            <w:r w:rsidR="00337AC0" w:rsidRPr="00E8774E">
              <w:rPr>
                <w:rFonts w:ascii="Arial" w:hAnsi="Arial" w:cs="Arial"/>
                <w:sz w:val="24"/>
                <w:szCs w:val="24"/>
              </w:rPr>
              <w:t xml:space="preserve">e </w:t>
            </w:r>
            <w:r w:rsidRPr="00E8774E">
              <w:rPr>
                <w:rFonts w:ascii="Arial" w:hAnsi="Arial" w:cs="Arial"/>
                <w:sz w:val="24"/>
                <w:szCs w:val="24"/>
              </w:rPr>
              <w:t>la coerenza di tali dichiarazioni con i format dell’</w:t>
            </w:r>
            <w:r w:rsidR="00337AC0" w:rsidRPr="00E8774E">
              <w:rPr>
                <w:rFonts w:ascii="Arial" w:hAnsi="Arial" w:cs="Arial"/>
                <w:sz w:val="24"/>
                <w:szCs w:val="24"/>
              </w:rPr>
              <w:t>A</w:t>
            </w:r>
            <w:r w:rsidRPr="00E8774E">
              <w:rPr>
                <w:rFonts w:ascii="Arial" w:hAnsi="Arial" w:cs="Arial"/>
                <w:sz w:val="24"/>
                <w:szCs w:val="24"/>
              </w:rPr>
              <w:t>mministrazione</w:t>
            </w:r>
            <w:r w:rsidR="00B03246" w:rsidRPr="00E8774E">
              <w:rPr>
                <w:rFonts w:ascii="Arial" w:hAnsi="Arial" w:cs="Arial"/>
                <w:sz w:val="24"/>
                <w:szCs w:val="24"/>
              </w:rPr>
              <w:t>, per tutti i concorrenti.</w:t>
            </w:r>
            <w:r w:rsidR="003F2EAA" w:rsidRPr="00E8774E">
              <w:rPr>
                <w:rFonts w:ascii="Arial" w:hAnsi="Arial" w:cs="Arial"/>
                <w:sz w:val="24"/>
                <w:szCs w:val="24"/>
              </w:rPr>
              <w:t xml:space="preserve"> </w:t>
            </w:r>
          </w:p>
          <w:p w14:paraId="765D9A38" w14:textId="7FF240D0" w:rsidR="00B03246" w:rsidRPr="00E8774E" w:rsidRDefault="00B03246" w:rsidP="00867EA5">
            <w:pPr>
              <w:pStyle w:val="Paragrafoelenco"/>
              <w:spacing w:before="240"/>
              <w:jc w:val="both"/>
              <w:rPr>
                <w:rFonts w:ascii="Arial" w:hAnsi="Arial" w:cs="Arial"/>
                <w:sz w:val="24"/>
                <w:szCs w:val="24"/>
              </w:rPr>
            </w:pPr>
          </w:p>
          <w:p w14:paraId="0BAD701D" w14:textId="340B7B8D" w:rsidR="00B03246" w:rsidRPr="00E8774E" w:rsidRDefault="00B03246" w:rsidP="00867EA5">
            <w:pPr>
              <w:pStyle w:val="Paragrafoelenco"/>
              <w:spacing w:before="240"/>
              <w:jc w:val="both"/>
              <w:rPr>
                <w:rFonts w:ascii="Arial" w:hAnsi="Arial" w:cs="Arial"/>
                <w:sz w:val="24"/>
                <w:szCs w:val="24"/>
              </w:rPr>
            </w:pPr>
            <w:r w:rsidRPr="00E8774E">
              <w:rPr>
                <w:rFonts w:ascii="Arial" w:hAnsi="Arial" w:cs="Arial"/>
                <w:sz w:val="24"/>
                <w:szCs w:val="24"/>
              </w:rPr>
              <w:t>Per l’aggiudicatario occorre controllare il certificato dei carichi pendenti.</w:t>
            </w:r>
          </w:p>
          <w:p w14:paraId="72AE41EA" w14:textId="77777777" w:rsidR="00880026" w:rsidRPr="00E8774E" w:rsidRDefault="00880026" w:rsidP="00867EA5">
            <w:pPr>
              <w:pStyle w:val="Paragrafoelenco"/>
              <w:spacing w:before="240"/>
              <w:jc w:val="both"/>
              <w:rPr>
                <w:rFonts w:ascii="Arial" w:hAnsi="Arial" w:cs="Arial"/>
                <w:sz w:val="24"/>
                <w:szCs w:val="24"/>
              </w:rPr>
            </w:pPr>
          </w:p>
          <w:p w14:paraId="2598E94F" w14:textId="6EF67E76" w:rsidR="003C1CB6" w:rsidRPr="00E8774E" w:rsidRDefault="00F22AF7" w:rsidP="00867EA5">
            <w:pPr>
              <w:pStyle w:val="Paragrafoelenco"/>
              <w:spacing w:before="240"/>
              <w:jc w:val="both"/>
              <w:rPr>
                <w:rFonts w:ascii="Arial" w:hAnsi="Arial" w:cs="Arial"/>
                <w:sz w:val="24"/>
                <w:szCs w:val="24"/>
              </w:rPr>
            </w:pPr>
            <w:r w:rsidRPr="00E8774E">
              <w:rPr>
                <w:rFonts w:ascii="Arial" w:hAnsi="Arial" w:cs="Arial"/>
                <w:sz w:val="24"/>
                <w:szCs w:val="24"/>
              </w:rPr>
              <w:t>Le dichiarazioni di assenza di conflitto di interess</w:t>
            </w:r>
            <w:r w:rsidR="00A34BC2">
              <w:rPr>
                <w:rFonts w:ascii="Arial" w:hAnsi="Arial" w:cs="Arial"/>
                <w:sz w:val="24"/>
                <w:szCs w:val="24"/>
              </w:rPr>
              <w:t>i</w:t>
            </w:r>
            <w:r w:rsidRPr="00E8774E">
              <w:rPr>
                <w:rFonts w:ascii="Arial" w:hAnsi="Arial" w:cs="Arial"/>
                <w:sz w:val="24"/>
                <w:szCs w:val="24"/>
              </w:rPr>
              <w:t xml:space="preserve"> vanno protocollate ed inserite nell’apposito registro</w:t>
            </w:r>
            <w:r w:rsidR="00876E8F" w:rsidRPr="00E8774E">
              <w:rPr>
                <w:rFonts w:ascii="Arial" w:hAnsi="Arial" w:cs="Arial"/>
                <w:sz w:val="24"/>
                <w:szCs w:val="24"/>
              </w:rPr>
              <w:t>.</w:t>
            </w:r>
          </w:p>
          <w:p w14:paraId="1D9D85A0" w14:textId="77777777" w:rsidR="00243B93" w:rsidRPr="00E8774E" w:rsidRDefault="00243B93" w:rsidP="00867EA5">
            <w:pPr>
              <w:pStyle w:val="Paragrafoelenco"/>
              <w:jc w:val="both"/>
              <w:rPr>
                <w:rFonts w:ascii="Arial" w:hAnsi="Arial" w:cs="Arial"/>
                <w:sz w:val="24"/>
                <w:szCs w:val="24"/>
              </w:rPr>
            </w:pPr>
          </w:p>
          <w:p w14:paraId="6F875479" w14:textId="52230C3A" w:rsidR="002421E7" w:rsidRPr="00E8774E" w:rsidRDefault="002421E7" w:rsidP="00867EA5">
            <w:pPr>
              <w:pStyle w:val="Paragrafoelenco"/>
              <w:jc w:val="both"/>
              <w:rPr>
                <w:rFonts w:ascii="Arial" w:hAnsi="Arial" w:cs="Arial"/>
                <w:sz w:val="24"/>
                <w:szCs w:val="24"/>
              </w:rPr>
            </w:pPr>
            <w:r w:rsidRPr="00E8774E">
              <w:rPr>
                <w:rFonts w:ascii="Arial" w:hAnsi="Arial" w:cs="Arial"/>
                <w:sz w:val="24"/>
                <w:szCs w:val="24"/>
              </w:rPr>
              <w:lastRenderedPageBreak/>
              <w:t>Occorre verificare, prima della stipula del contratto e</w:t>
            </w:r>
            <w:r w:rsidR="00337AC0" w:rsidRPr="00E8774E">
              <w:rPr>
                <w:rFonts w:ascii="Arial" w:hAnsi="Arial" w:cs="Arial"/>
                <w:sz w:val="24"/>
                <w:szCs w:val="24"/>
              </w:rPr>
              <w:t>,</w:t>
            </w:r>
            <w:r w:rsidRPr="00E8774E">
              <w:rPr>
                <w:rFonts w:ascii="Arial" w:hAnsi="Arial" w:cs="Arial"/>
                <w:sz w:val="24"/>
                <w:szCs w:val="24"/>
              </w:rPr>
              <w:t xml:space="preserve"> durante l’esecuzione</w:t>
            </w:r>
            <w:r w:rsidR="00337AC0" w:rsidRPr="00E8774E">
              <w:rPr>
                <w:rFonts w:ascii="Arial" w:hAnsi="Arial" w:cs="Arial"/>
                <w:sz w:val="24"/>
                <w:szCs w:val="24"/>
              </w:rPr>
              <w:t xml:space="preserve">, relativamente al </w:t>
            </w:r>
            <w:r w:rsidRPr="00E8774E">
              <w:rPr>
                <w:rFonts w:ascii="Arial" w:hAnsi="Arial" w:cs="Arial"/>
                <w:sz w:val="24"/>
                <w:szCs w:val="24"/>
              </w:rPr>
              <w:t>subappaltatore,</w:t>
            </w:r>
            <w:r w:rsidR="00BF382D" w:rsidRPr="00E8774E">
              <w:rPr>
                <w:rFonts w:ascii="Arial" w:hAnsi="Arial" w:cs="Arial"/>
                <w:sz w:val="24"/>
                <w:szCs w:val="24"/>
              </w:rPr>
              <w:t xml:space="preserve"> l’i</w:t>
            </w:r>
            <w:r w:rsidR="003F0B5D" w:rsidRPr="00E8774E">
              <w:rPr>
                <w:rFonts w:ascii="Arial" w:hAnsi="Arial" w:cs="Arial"/>
                <w:sz w:val="24"/>
                <w:szCs w:val="24"/>
              </w:rPr>
              <w:t>dentità del titolare effettivo.</w:t>
            </w:r>
          </w:p>
          <w:p w14:paraId="4661D446" w14:textId="7B383B0E" w:rsidR="003F0B5D" w:rsidRPr="00E8774E" w:rsidRDefault="003F0B5D" w:rsidP="00867EA5">
            <w:pPr>
              <w:pStyle w:val="Paragrafoelenco"/>
              <w:jc w:val="both"/>
              <w:rPr>
                <w:rFonts w:ascii="Arial" w:hAnsi="Arial" w:cs="Arial"/>
                <w:sz w:val="24"/>
                <w:szCs w:val="24"/>
              </w:rPr>
            </w:pPr>
            <w:r w:rsidRPr="00E8774E">
              <w:rPr>
                <w:rFonts w:ascii="Arial" w:hAnsi="Arial" w:cs="Arial"/>
                <w:sz w:val="24"/>
                <w:szCs w:val="24"/>
              </w:rPr>
              <w:t>I criteri alternativi per l’individuazione del titolare effettivo sono i seguenti:</w:t>
            </w:r>
          </w:p>
          <w:p w14:paraId="0785B863" w14:textId="77777777" w:rsidR="003F0B5D" w:rsidRPr="00E8774E" w:rsidRDefault="003F0B5D" w:rsidP="00867EA5">
            <w:pPr>
              <w:pStyle w:val="Default"/>
              <w:ind w:left="1018" w:hanging="283"/>
              <w:jc w:val="both"/>
              <w:rPr>
                <w:rFonts w:ascii="Arial" w:hAnsi="Arial" w:cs="Arial"/>
              </w:rPr>
            </w:pPr>
            <w:r w:rsidRPr="00E8774E">
              <w:rPr>
                <w:rFonts w:ascii="Arial" w:hAnsi="Arial" w:cs="Arial"/>
                <w:b/>
                <w:bCs/>
                <w:color w:val="2E5395"/>
              </w:rPr>
              <w:t xml:space="preserve">1. criterio dell’assetto proprietario: </w:t>
            </w:r>
            <w:r w:rsidRPr="00E8774E">
              <w:rPr>
                <w:rFonts w:ascii="Arial" w:hAnsi="Arial" w:cs="Arial"/>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2FFF6BB5" w14:textId="77777777" w:rsidR="003F0B5D" w:rsidRPr="00E8774E" w:rsidRDefault="003F0B5D" w:rsidP="00867EA5">
            <w:pPr>
              <w:pStyle w:val="Default"/>
              <w:ind w:left="1018" w:hanging="283"/>
              <w:jc w:val="both"/>
              <w:rPr>
                <w:rFonts w:ascii="Arial" w:hAnsi="Arial" w:cs="Arial"/>
              </w:rPr>
            </w:pPr>
            <w:r w:rsidRPr="00E8774E">
              <w:rPr>
                <w:rFonts w:ascii="Arial" w:hAnsi="Arial" w:cs="Arial"/>
                <w:b/>
                <w:bCs/>
                <w:color w:val="2E5395"/>
              </w:rPr>
              <w:t xml:space="preserve">2. criterio del controllo: </w:t>
            </w:r>
            <w:r w:rsidRPr="00E8774E">
              <w:rPr>
                <w:rFonts w:ascii="Arial" w:hAnsi="Arial" w:cs="Arial"/>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74D3CC01" w14:textId="2CAA939E" w:rsidR="003F0B5D" w:rsidRPr="00E8774E" w:rsidRDefault="003F0B5D" w:rsidP="00867EA5">
            <w:pPr>
              <w:pStyle w:val="Default"/>
              <w:ind w:left="1018" w:hanging="283"/>
              <w:jc w:val="both"/>
              <w:rPr>
                <w:rFonts w:ascii="Arial" w:hAnsi="Arial" w:cs="Arial"/>
              </w:rPr>
            </w:pPr>
            <w:r w:rsidRPr="00E8774E">
              <w:rPr>
                <w:rFonts w:ascii="Arial" w:hAnsi="Arial" w:cs="Arial"/>
                <w:b/>
                <w:bCs/>
                <w:color w:val="2E5395"/>
              </w:rPr>
              <w:t xml:space="preserve">3. criterio residuale: </w:t>
            </w:r>
            <w:r w:rsidRPr="00E8774E">
              <w:rPr>
                <w:rFonts w:ascii="Arial" w:hAnsi="Arial" w:cs="Arial"/>
              </w:rPr>
              <w:t xml:space="preserve">questo criterio stabilisce che, se non sono stati individuati i titolari effettivi con i precedenti due criteri, </w:t>
            </w:r>
            <w:r w:rsidR="00337AC0" w:rsidRPr="00E8774E">
              <w:rPr>
                <w:rFonts w:ascii="Arial" w:hAnsi="Arial" w:cs="Arial"/>
              </w:rPr>
              <w:t>il titolare</w:t>
            </w:r>
            <w:r w:rsidRPr="00E8774E">
              <w:rPr>
                <w:rFonts w:ascii="Arial" w:hAnsi="Arial" w:cs="Arial"/>
              </w:rPr>
              <w:t xml:space="preserve"> vada individuato in colui che esercita poteri di amministrazione o direzione della società. </w:t>
            </w:r>
          </w:p>
          <w:p w14:paraId="373E7E19" w14:textId="5F6F0AE8" w:rsidR="003F0B5D" w:rsidRPr="00E8774E" w:rsidRDefault="003F0B5D" w:rsidP="00867EA5">
            <w:pPr>
              <w:pStyle w:val="Paragrafoelenco"/>
              <w:jc w:val="both"/>
              <w:rPr>
                <w:rFonts w:ascii="Arial" w:hAnsi="Arial" w:cs="Arial"/>
                <w:sz w:val="24"/>
                <w:szCs w:val="24"/>
              </w:rPr>
            </w:pPr>
            <w:r w:rsidRPr="00E8774E">
              <w:rPr>
                <w:rFonts w:ascii="Arial" w:hAnsi="Arial" w:cs="Arial"/>
                <w:sz w:val="24"/>
                <w:szCs w:val="24"/>
              </w:rPr>
              <w:t>Solo ed esclusivamente nel caso in cui, anche attraverso l’applicazione dei tre criteri sopradescritti, non sia possibile risalire al titolare effettivo, si potrà valutare di utilizzare la casistica definita quale “</w:t>
            </w:r>
            <w:r w:rsidRPr="00E8774E">
              <w:rPr>
                <w:rFonts w:ascii="Arial" w:hAnsi="Arial" w:cs="Arial"/>
                <w:i/>
                <w:iCs/>
                <w:sz w:val="24"/>
                <w:szCs w:val="24"/>
              </w:rPr>
              <w:t>assenza di titolare effettivo</w:t>
            </w:r>
            <w:r w:rsidRPr="00E8774E">
              <w:rPr>
                <w:rFonts w:ascii="Arial" w:hAnsi="Arial" w:cs="Arial"/>
                <w:sz w:val="24"/>
                <w:szCs w:val="24"/>
              </w:rPr>
              <w:t xml:space="preserve">”. </w:t>
            </w:r>
          </w:p>
          <w:p w14:paraId="4202479D" w14:textId="77777777" w:rsidR="004E5E62" w:rsidRPr="00E8774E" w:rsidRDefault="004E5E62" w:rsidP="00867EA5">
            <w:pPr>
              <w:pStyle w:val="Paragrafoelenco"/>
              <w:jc w:val="both"/>
              <w:rPr>
                <w:rFonts w:ascii="Arial" w:hAnsi="Arial" w:cs="Arial"/>
                <w:sz w:val="16"/>
                <w:szCs w:val="16"/>
              </w:rPr>
            </w:pPr>
          </w:p>
          <w:p w14:paraId="06009963" w14:textId="0D167729" w:rsidR="003F0B5D" w:rsidRPr="00E8774E" w:rsidRDefault="003F0B5D" w:rsidP="00867EA5">
            <w:pPr>
              <w:pStyle w:val="Paragrafoelenco"/>
              <w:jc w:val="both"/>
              <w:rPr>
                <w:rFonts w:ascii="Arial" w:hAnsi="Arial" w:cs="Arial"/>
                <w:sz w:val="24"/>
                <w:szCs w:val="24"/>
              </w:rPr>
            </w:pPr>
            <w:r w:rsidRPr="00E8774E">
              <w:rPr>
                <w:rFonts w:ascii="Arial" w:hAnsi="Arial" w:cs="Arial"/>
                <w:sz w:val="24"/>
                <w:szCs w:val="24"/>
              </w:rPr>
              <w:t>Occorre inserire e aggiornare i dati richiesti nel sistema informati</w:t>
            </w:r>
            <w:r w:rsidR="00337AC0" w:rsidRPr="00E8774E">
              <w:rPr>
                <w:rFonts w:ascii="Arial" w:hAnsi="Arial" w:cs="Arial"/>
                <w:sz w:val="24"/>
                <w:szCs w:val="24"/>
              </w:rPr>
              <w:t>v</w:t>
            </w:r>
            <w:r w:rsidRPr="00E8774E">
              <w:rPr>
                <w:rFonts w:ascii="Arial" w:hAnsi="Arial" w:cs="Arial"/>
                <w:sz w:val="24"/>
                <w:szCs w:val="24"/>
              </w:rPr>
              <w:t>o del MUR per attestare le verifiche effettuate e l’esito regolare delle stesse. In particolare, per le procedure di affidamento occorre inserire i seguenti dati</w:t>
            </w:r>
            <w:r w:rsidR="00B53E6A" w:rsidRPr="00E8774E">
              <w:rPr>
                <w:rFonts w:ascii="Arial" w:hAnsi="Arial" w:cs="Arial"/>
                <w:sz w:val="24"/>
                <w:szCs w:val="24"/>
              </w:rPr>
              <w:t>:</w:t>
            </w:r>
          </w:p>
          <w:p w14:paraId="43162783"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a. Soggetto giuridico responsabile della procedura;</w:t>
            </w:r>
          </w:p>
          <w:p w14:paraId="7B3D4E1B"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b. Tipologia di procedura;</w:t>
            </w:r>
          </w:p>
          <w:p w14:paraId="3682A7B9"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c. CIG; </w:t>
            </w:r>
          </w:p>
          <w:p w14:paraId="592AC7C8"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d. Estremi atto di riferimento; </w:t>
            </w:r>
          </w:p>
          <w:p w14:paraId="65F3BBF4"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e. Descrizione procedura di aggiudicazione; </w:t>
            </w:r>
          </w:p>
          <w:p w14:paraId="55EDA1D4"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f. Importo totale procedura di aggiudicazione; </w:t>
            </w:r>
          </w:p>
          <w:p w14:paraId="1EF1619F"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g. Data di pubblicazione procedura; </w:t>
            </w:r>
          </w:p>
          <w:p w14:paraId="46F696C0"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h. Data di completamento/aggiudicazione;</w:t>
            </w:r>
          </w:p>
          <w:p w14:paraId="79228964"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i. Importo complessivo aggiudicato;</w:t>
            </w:r>
          </w:p>
          <w:p w14:paraId="6A4D3A50"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j. Dati sugli eventuali ricorsi; </w:t>
            </w:r>
          </w:p>
          <w:p w14:paraId="64848B0B" w14:textId="625C96DD"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k. Dati degli aggiudicatari (anagrafica completa, durata del contratto, localizzazione, titolare effettivo); </w:t>
            </w:r>
          </w:p>
          <w:p w14:paraId="153FA3C8" w14:textId="77777777" w:rsidR="000D5E82" w:rsidRPr="00E8774E" w:rsidRDefault="000D5E82" w:rsidP="00867EA5">
            <w:pPr>
              <w:pStyle w:val="Paragrafoelenco"/>
              <w:jc w:val="both"/>
              <w:rPr>
                <w:rFonts w:ascii="Arial" w:hAnsi="Arial" w:cs="Arial"/>
                <w:sz w:val="24"/>
                <w:szCs w:val="24"/>
              </w:rPr>
            </w:pPr>
            <w:r w:rsidRPr="00E8774E">
              <w:rPr>
                <w:rFonts w:ascii="Arial" w:hAnsi="Arial" w:cs="Arial"/>
                <w:sz w:val="24"/>
                <w:szCs w:val="24"/>
              </w:rPr>
              <w:t xml:space="preserve">l. Documentazione della procedura; </w:t>
            </w:r>
          </w:p>
          <w:p w14:paraId="51668CBD" w14:textId="18A43818" w:rsidR="00B53E6A" w:rsidRPr="00E8774E" w:rsidRDefault="000D5E82" w:rsidP="00867EA5">
            <w:pPr>
              <w:pStyle w:val="Paragrafoelenco"/>
              <w:jc w:val="both"/>
              <w:rPr>
                <w:rFonts w:ascii="Arial" w:hAnsi="Arial" w:cs="Arial"/>
                <w:sz w:val="24"/>
                <w:szCs w:val="24"/>
              </w:rPr>
            </w:pPr>
            <w:r w:rsidRPr="00E8774E">
              <w:rPr>
                <w:rFonts w:ascii="Arial" w:hAnsi="Arial" w:cs="Arial"/>
                <w:sz w:val="24"/>
                <w:szCs w:val="24"/>
              </w:rPr>
              <w:t>m. Ulteriori informazioni previste dal PUC o dai dispositivi attuativi della misura.</w:t>
            </w:r>
          </w:p>
          <w:p w14:paraId="453DE841" w14:textId="12774EC4" w:rsidR="002421E7" w:rsidRPr="00E8774E" w:rsidRDefault="00F64E3C" w:rsidP="00867EA5">
            <w:pPr>
              <w:pStyle w:val="Paragrafoelenco"/>
              <w:jc w:val="both"/>
              <w:rPr>
                <w:rFonts w:ascii="Arial" w:hAnsi="Arial" w:cs="Arial"/>
                <w:sz w:val="24"/>
                <w:szCs w:val="24"/>
              </w:rPr>
            </w:pPr>
            <w:r w:rsidRPr="00E8774E">
              <w:rPr>
                <w:rFonts w:ascii="Arial" w:hAnsi="Arial" w:cs="Arial"/>
                <w:sz w:val="24"/>
                <w:szCs w:val="24"/>
              </w:rPr>
              <w:t>In particolare, oltre le verifiche sopraindicate, occorre procedere a verificare il rispetto delle condizionalità PNRR, di ulteriori requisiti PNRR, del principio DNSH e dei principi trasversali.</w:t>
            </w:r>
          </w:p>
        </w:tc>
        <w:tc>
          <w:tcPr>
            <w:tcW w:w="2694" w:type="dxa"/>
          </w:tcPr>
          <w:p w14:paraId="53E2E2DE" w14:textId="77777777" w:rsidR="005D6162" w:rsidRPr="00E8774E" w:rsidRDefault="005D6162" w:rsidP="00867EA5">
            <w:pPr>
              <w:jc w:val="both"/>
              <w:rPr>
                <w:rFonts w:ascii="Arial" w:hAnsi="Arial" w:cs="Arial"/>
                <w:sz w:val="24"/>
                <w:szCs w:val="24"/>
              </w:rPr>
            </w:pPr>
          </w:p>
          <w:p w14:paraId="0766C60D" w14:textId="5C5F7861" w:rsidR="002421E7" w:rsidRPr="00E8774E" w:rsidRDefault="002421E7" w:rsidP="00867EA5">
            <w:pPr>
              <w:jc w:val="both"/>
              <w:rPr>
                <w:rFonts w:ascii="Arial" w:hAnsi="Arial" w:cs="Arial"/>
                <w:sz w:val="24"/>
                <w:szCs w:val="24"/>
              </w:rPr>
            </w:pPr>
            <w:r w:rsidRPr="00E8774E">
              <w:rPr>
                <w:rFonts w:ascii="Arial" w:hAnsi="Arial" w:cs="Arial"/>
                <w:sz w:val="24"/>
                <w:szCs w:val="24"/>
              </w:rPr>
              <w:t>Linee guida MEF</w:t>
            </w:r>
            <w:r w:rsidR="0071708B">
              <w:rPr>
                <w:rFonts w:ascii="Arial" w:hAnsi="Arial" w:cs="Arial"/>
                <w:sz w:val="24"/>
                <w:szCs w:val="24"/>
              </w:rPr>
              <w:t>;</w:t>
            </w:r>
          </w:p>
          <w:p w14:paraId="24095DBA" w14:textId="5599F814" w:rsidR="002421E7" w:rsidRPr="00E8774E" w:rsidRDefault="002421E7" w:rsidP="00867EA5">
            <w:pPr>
              <w:jc w:val="both"/>
              <w:rPr>
                <w:rFonts w:ascii="Arial" w:hAnsi="Arial" w:cs="Arial"/>
                <w:sz w:val="24"/>
                <w:szCs w:val="24"/>
              </w:rPr>
            </w:pPr>
            <w:r w:rsidRPr="00E8774E">
              <w:rPr>
                <w:rFonts w:ascii="Arial" w:hAnsi="Arial" w:cs="Arial"/>
                <w:sz w:val="24"/>
                <w:szCs w:val="24"/>
              </w:rPr>
              <w:t xml:space="preserve">Linee guida </w:t>
            </w:r>
            <w:r w:rsidR="00091B32" w:rsidRPr="00E8774E">
              <w:rPr>
                <w:rFonts w:ascii="Arial" w:hAnsi="Arial" w:cs="Arial"/>
                <w:sz w:val="24"/>
                <w:szCs w:val="24"/>
              </w:rPr>
              <w:t xml:space="preserve">del </w:t>
            </w:r>
            <w:r w:rsidRPr="00E8774E">
              <w:rPr>
                <w:rFonts w:ascii="Arial" w:hAnsi="Arial" w:cs="Arial"/>
                <w:sz w:val="24"/>
                <w:szCs w:val="24"/>
              </w:rPr>
              <w:t>MUR</w:t>
            </w:r>
            <w:r w:rsidR="00091B32" w:rsidRPr="00E8774E">
              <w:rPr>
                <w:rFonts w:ascii="Arial" w:hAnsi="Arial" w:cs="Arial"/>
                <w:sz w:val="24"/>
                <w:szCs w:val="24"/>
              </w:rPr>
              <w:t xml:space="preserve"> per il monitoraggio destinate ai Soggetti attuatori (</w:t>
            </w:r>
            <w:proofErr w:type="spellStart"/>
            <w:r w:rsidR="00091B32" w:rsidRPr="00E8774E">
              <w:rPr>
                <w:rFonts w:ascii="Arial" w:hAnsi="Arial" w:cs="Arial"/>
                <w:sz w:val="24"/>
                <w:szCs w:val="24"/>
              </w:rPr>
              <w:t>vers</w:t>
            </w:r>
            <w:proofErr w:type="spellEnd"/>
            <w:r w:rsidR="00091B32" w:rsidRPr="00E8774E">
              <w:rPr>
                <w:rFonts w:ascii="Arial" w:hAnsi="Arial" w:cs="Arial"/>
                <w:sz w:val="24"/>
                <w:szCs w:val="24"/>
              </w:rPr>
              <w:t xml:space="preserve">. </w:t>
            </w:r>
            <w:r w:rsidR="00292CCA" w:rsidRPr="00E8774E">
              <w:rPr>
                <w:rFonts w:ascii="Arial" w:hAnsi="Arial" w:cs="Arial"/>
                <w:sz w:val="24"/>
                <w:szCs w:val="24"/>
              </w:rPr>
              <w:t>d</w:t>
            </w:r>
            <w:r w:rsidR="00091B32" w:rsidRPr="00E8774E">
              <w:rPr>
                <w:rFonts w:ascii="Arial" w:hAnsi="Arial" w:cs="Arial"/>
                <w:sz w:val="24"/>
                <w:szCs w:val="24"/>
              </w:rPr>
              <w:t>el 26/09/2022)</w:t>
            </w:r>
            <w:r w:rsidR="0071708B">
              <w:rPr>
                <w:rFonts w:ascii="Arial" w:hAnsi="Arial" w:cs="Arial"/>
                <w:sz w:val="24"/>
                <w:szCs w:val="24"/>
              </w:rPr>
              <w:t>;</w:t>
            </w:r>
          </w:p>
          <w:p w14:paraId="5A5FA3BF" w14:textId="0ECF051D" w:rsidR="008841F8" w:rsidRPr="00E8774E" w:rsidRDefault="00615989" w:rsidP="00867EA5">
            <w:pPr>
              <w:jc w:val="both"/>
              <w:rPr>
                <w:rFonts w:ascii="Arial" w:hAnsi="Arial" w:cs="Arial"/>
                <w:sz w:val="24"/>
                <w:szCs w:val="24"/>
              </w:rPr>
            </w:pPr>
            <w:r>
              <w:rPr>
                <w:rFonts w:ascii="Arial" w:hAnsi="Arial" w:cs="Arial"/>
                <w:sz w:val="24"/>
                <w:szCs w:val="24"/>
              </w:rPr>
              <w:t>Linee guida MUR 2</w:t>
            </w:r>
            <w:r w:rsidR="0071708B">
              <w:rPr>
                <w:rFonts w:ascii="Arial" w:hAnsi="Arial" w:cs="Arial"/>
                <w:sz w:val="24"/>
                <w:szCs w:val="24"/>
              </w:rPr>
              <w:t>.</w:t>
            </w:r>
          </w:p>
          <w:p w14:paraId="4DB5BC50" w14:textId="50062081" w:rsidR="008841F8" w:rsidRPr="00E8774E" w:rsidRDefault="008841F8" w:rsidP="00867EA5">
            <w:pPr>
              <w:jc w:val="both"/>
              <w:rPr>
                <w:rFonts w:ascii="Arial" w:hAnsi="Arial" w:cs="Arial"/>
                <w:sz w:val="24"/>
                <w:szCs w:val="24"/>
              </w:rPr>
            </w:pPr>
          </w:p>
          <w:p w14:paraId="1619CDBB" w14:textId="76F642BE" w:rsidR="008841F8" w:rsidRPr="00E8774E" w:rsidRDefault="008841F8" w:rsidP="00867EA5">
            <w:pPr>
              <w:jc w:val="both"/>
              <w:rPr>
                <w:rFonts w:ascii="Arial" w:hAnsi="Arial" w:cs="Arial"/>
                <w:sz w:val="24"/>
                <w:szCs w:val="24"/>
              </w:rPr>
            </w:pPr>
          </w:p>
          <w:p w14:paraId="606B5B9F" w14:textId="11A6D27C" w:rsidR="008841F8" w:rsidRPr="00E8774E" w:rsidRDefault="008841F8" w:rsidP="00867EA5">
            <w:pPr>
              <w:jc w:val="both"/>
              <w:rPr>
                <w:rFonts w:ascii="Arial" w:hAnsi="Arial" w:cs="Arial"/>
                <w:sz w:val="24"/>
                <w:szCs w:val="24"/>
              </w:rPr>
            </w:pPr>
          </w:p>
          <w:p w14:paraId="47E58BDB" w14:textId="4C331BDC" w:rsidR="008841F8" w:rsidRPr="00E8774E" w:rsidRDefault="008841F8" w:rsidP="00867EA5">
            <w:pPr>
              <w:jc w:val="both"/>
              <w:rPr>
                <w:rFonts w:ascii="Arial" w:hAnsi="Arial" w:cs="Arial"/>
                <w:sz w:val="24"/>
                <w:szCs w:val="24"/>
              </w:rPr>
            </w:pPr>
          </w:p>
          <w:p w14:paraId="5FC0B5D0" w14:textId="7F0BE62B" w:rsidR="008841F8" w:rsidRPr="00E8774E" w:rsidRDefault="008841F8" w:rsidP="00867EA5">
            <w:pPr>
              <w:jc w:val="both"/>
              <w:rPr>
                <w:rFonts w:ascii="Arial" w:hAnsi="Arial" w:cs="Arial"/>
                <w:sz w:val="24"/>
                <w:szCs w:val="24"/>
              </w:rPr>
            </w:pPr>
          </w:p>
          <w:p w14:paraId="0689F842" w14:textId="2C0D5FE8" w:rsidR="008841F8" w:rsidRPr="00E8774E" w:rsidRDefault="008841F8" w:rsidP="00867EA5">
            <w:pPr>
              <w:jc w:val="both"/>
              <w:rPr>
                <w:rFonts w:ascii="Arial" w:hAnsi="Arial" w:cs="Arial"/>
                <w:sz w:val="24"/>
                <w:szCs w:val="24"/>
              </w:rPr>
            </w:pPr>
          </w:p>
          <w:p w14:paraId="182500C1" w14:textId="5E9AABCD" w:rsidR="00876E8F" w:rsidRPr="00E8774E" w:rsidRDefault="00876E8F" w:rsidP="00867EA5">
            <w:pPr>
              <w:jc w:val="both"/>
              <w:rPr>
                <w:rFonts w:ascii="Arial" w:hAnsi="Arial" w:cs="Arial"/>
                <w:sz w:val="24"/>
                <w:szCs w:val="24"/>
              </w:rPr>
            </w:pPr>
          </w:p>
          <w:p w14:paraId="6EBDC072" w14:textId="77777777" w:rsidR="00876E8F" w:rsidRPr="00E8774E" w:rsidRDefault="00876E8F" w:rsidP="00867EA5">
            <w:pPr>
              <w:jc w:val="both"/>
              <w:rPr>
                <w:rFonts w:ascii="Arial" w:hAnsi="Arial" w:cs="Arial"/>
                <w:sz w:val="24"/>
                <w:szCs w:val="24"/>
              </w:rPr>
            </w:pPr>
          </w:p>
          <w:p w14:paraId="7303E1D9" w14:textId="1F0D7E17" w:rsidR="00B43EB4" w:rsidRPr="00E8774E" w:rsidRDefault="00B43EB4" w:rsidP="00867EA5">
            <w:pPr>
              <w:jc w:val="both"/>
              <w:rPr>
                <w:rFonts w:ascii="Arial" w:hAnsi="Arial" w:cs="Arial"/>
                <w:sz w:val="24"/>
                <w:szCs w:val="24"/>
              </w:rPr>
            </w:pPr>
            <w:r w:rsidRPr="00E8774E">
              <w:rPr>
                <w:rFonts w:ascii="Arial" w:hAnsi="Arial" w:cs="Arial"/>
                <w:sz w:val="24"/>
                <w:szCs w:val="24"/>
              </w:rPr>
              <w:t>PNA 2022, Delibera n. 7 del 17 gennaio 2023</w:t>
            </w:r>
          </w:p>
        </w:tc>
        <w:tc>
          <w:tcPr>
            <w:tcW w:w="2685" w:type="dxa"/>
          </w:tcPr>
          <w:p w14:paraId="76FC32AC" w14:textId="4EBD463B" w:rsidR="005D6162" w:rsidRPr="00E8774E" w:rsidRDefault="002421E7" w:rsidP="00867EA5">
            <w:pPr>
              <w:jc w:val="both"/>
              <w:rPr>
                <w:rFonts w:ascii="Arial" w:hAnsi="Arial" w:cs="Arial"/>
                <w:sz w:val="24"/>
                <w:szCs w:val="24"/>
              </w:rPr>
            </w:pPr>
            <w:r w:rsidRPr="00E8774E">
              <w:rPr>
                <w:rFonts w:ascii="Arial" w:hAnsi="Arial" w:cs="Arial"/>
                <w:sz w:val="24"/>
                <w:szCs w:val="24"/>
              </w:rPr>
              <w:t>RU</w:t>
            </w:r>
            <w:r w:rsidR="00575582" w:rsidRPr="00E8774E">
              <w:rPr>
                <w:rFonts w:ascii="Arial" w:hAnsi="Arial" w:cs="Arial"/>
                <w:sz w:val="24"/>
                <w:szCs w:val="24"/>
              </w:rPr>
              <w:t>P</w:t>
            </w:r>
            <w:r w:rsidRPr="00E8774E">
              <w:rPr>
                <w:rFonts w:ascii="Arial" w:hAnsi="Arial" w:cs="Arial"/>
                <w:sz w:val="24"/>
                <w:szCs w:val="24"/>
              </w:rPr>
              <w:t>/ASUR/</w:t>
            </w:r>
            <w:r w:rsidR="00292CCA" w:rsidRPr="00E8774E">
              <w:rPr>
                <w:rFonts w:ascii="Arial" w:hAnsi="Arial" w:cs="Arial"/>
                <w:sz w:val="24"/>
                <w:szCs w:val="24"/>
              </w:rPr>
              <w:t xml:space="preserve">Ufficio Auditing di </w:t>
            </w:r>
            <w:proofErr w:type="spellStart"/>
            <w:r w:rsidR="00292CCA" w:rsidRPr="00E8774E">
              <w:rPr>
                <w:rFonts w:ascii="Arial" w:hAnsi="Arial" w:cs="Arial"/>
                <w:sz w:val="24"/>
                <w:szCs w:val="24"/>
              </w:rPr>
              <w:t>Arcofig</w:t>
            </w:r>
            <w:proofErr w:type="spellEnd"/>
          </w:p>
        </w:tc>
      </w:tr>
      <w:tr w:rsidR="00F64E3C" w:rsidRPr="00E8774E" w14:paraId="7B308039" w14:textId="77777777" w:rsidTr="00575582">
        <w:tc>
          <w:tcPr>
            <w:tcW w:w="15871" w:type="dxa"/>
          </w:tcPr>
          <w:p w14:paraId="17A8463D" w14:textId="0764FBFE" w:rsidR="00F64E3C" w:rsidRPr="00E8774E" w:rsidRDefault="00876E8F" w:rsidP="00867EA5">
            <w:pPr>
              <w:pStyle w:val="Paragrafoelenco"/>
              <w:numPr>
                <w:ilvl w:val="0"/>
                <w:numId w:val="1"/>
              </w:numPr>
              <w:jc w:val="both"/>
              <w:rPr>
                <w:rFonts w:ascii="Arial" w:hAnsi="Arial" w:cs="Arial"/>
                <w:b/>
                <w:sz w:val="24"/>
                <w:szCs w:val="24"/>
              </w:rPr>
            </w:pPr>
            <w:r w:rsidRPr="00E8774E">
              <w:rPr>
                <w:rFonts w:ascii="Arial" w:hAnsi="Arial" w:cs="Arial"/>
                <w:b/>
                <w:sz w:val="24"/>
                <w:szCs w:val="24"/>
              </w:rPr>
              <w:t xml:space="preserve">Beni e servizi informatici strumentali alla realizzazione del </w:t>
            </w:r>
            <w:r w:rsidR="00F64E3C" w:rsidRPr="00E8774E">
              <w:rPr>
                <w:rFonts w:ascii="Arial" w:hAnsi="Arial" w:cs="Arial"/>
                <w:b/>
                <w:sz w:val="24"/>
                <w:szCs w:val="24"/>
              </w:rPr>
              <w:t>PNRR</w:t>
            </w:r>
          </w:p>
          <w:p w14:paraId="5BB50F6A" w14:textId="4F3AC1D2" w:rsidR="00F64E3C" w:rsidRPr="00E8774E" w:rsidRDefault="00F64E3C" w:rsidP="00867EA5">
            <w:pPr>
              <w:pStyle w:val="Paragrafoelenco"/>
              <w:jc w:val="both"/>
              <w:rPr>
                <w:rFonts w:ascii="Arial" w:hAnsi="Arial" w:cs="Arial"/>
                <w:sz w:val="24"/>
                <w:szCs w:val="24"/>
              </w:rPr>
            </w:pPr>
            <w:r w:rsidRPr="00E8774E">
              <w:rPr>
                <w:rFonts w:ascii="Arial" w:hAnsi="Arial" w:cs="Arial"/>
                <w:sz w:val="24"/>
                <w:szCs w:val="24"/>
              </w:rPr>
              <w:t>Per acquisti di importo inferiore alla soglia comunitaria si procede con l’affidamento diretto.</w:t>
            </w:r>
          </w:p>
          <w:p w14:paraId="108B42EB" w14:textId="3B491D70" w:rsidR="00F64E3C" w:rsidRPr="00E8774E" w:rsidRDefault="00F64E3C" w:rsidP="00867EA5">
            <w:pPr>
              <w:pStyle w:val="Paragrafoelenco"/>
              <w:jc w:val="both"/>
              <w:rPr>
                <w:rFonts w:ascii="Arial" w:hAnsi="Arial" w:cs="Arial"/>
                <w:sz w:val="24"/>
                <w:szCs w:val="24"/>
              </w:rPr>
            </w:pPr>
            <w:r w:rsidRPr="00E8774E">
              <w:rPr>
                <w:rFonts w:ascii="Arial" w:hAnsi="Arial" w:cs="Arial"/>
                <w:sz w:val="24"/>
                <w:szCs w:val="24"/>
              </w:rPr>
              <w:t xml:space="preserve">Per acquisti di importo pari o superiore alla soglia comunitaria si procede con la procedura negoziata senza previa pubblicazione di bando (art. </w:t>
            </w:r>
            <w:r w:rsidR="003C7FF1" w:rsidRPr="00E8774E">
              <w:rPr>
                <w:rFonts w:ascii="Arial" w:hAnsi="Arial" w:cs="Arial"/>
                <w:sz w:val="24"/>
                <w:szCs w:val="24"/>
              </w:rPr>
              <w:t>76 D.lgs. 36/2023</w:t>
            </w:r>
            <w:r w:rsidRPr="00E8774E">
              <w:rPr>
                <w:rFonts w:ascii="Arial" w:hAnsi="Arial" w:cs="Arial"/>
                <w:sz w:val="24"/>
                <w:szCs w:val="24"/>
              </w:rPr>
              <w:t xml:space="preserve">), in presenza dei presupposti ivi previsti, in particolare per beni e servizi basati sulla tecnologia cloud, per servizi di connettività finanziati dal PNRR, la cui </w:t>
            </w:r>
            <w:r w:rsidR="00BC4B65">
              <w:rPr>
                <w:rFonts w:ascii="Arial" w:hAnsi="Arial" w:cs="Arial"/>
                <w:sz w:val="24"/>
                <w:szCs w:val="24"/>
              </w:rPr>
              <w:t>decisione di</w:t>
            </w:r>
            <w:r w:rsidRPr="00E8774E">
              <w:rPr>
                <w:rFonts w:ascii="Arial" w:hAnsi="Arial" w:cs="Arial"/>
                <w:sz w:val="24"/>
                <w:szCs w:val="24"/>
              </w:rPr>
              <w:t xml:space="preserve"> contrarre sia adottata entro il 31/12/2026, anche ove ricorra la rapida obsolescenza tecnologica, tale da non consentire il ricorso ad altra procedura di affidamento.</w:t>
            </w:r>
          </w:p>
          <w:p w14:paraId="38ADCA01" w14:textId="1C2A6876" w:rsidR="00F64E3C" w:rsidRPr="00E8774E" w:rsidRDefault="00F64E3C" w:rsidP="00867EA5">
            <w:pPr>
              <w:pStyle w:val="Paragrafoelenco"/>
              <w:jc w:val="both"/>
              <w:rPr>
                <w:rFonts w:ascii="Arial" w:hAnsi="Arial" w:cs="Arial"/>
                <w:sz w:val="24"/>
                <w:szCs w:val="24"/>
              </w:rPr>
            </w:pPr>
            <w:proofErr w:type="gramStart"/>
            <w:r w:rsidRPr="00E8774E">
              <w:rPr>
                <w:rFonts w:ascii="Arial" w:hAnsi="Arial" w:cs="Arial"/>
                <w:sz w:val="24"/>
                <w:szCs w:val="24"/>
              </w:rPr>
              <w:t>E’</w:t>
            </w:r>
            <w:proofErr w:type="gramEnd"/>
            <w:r w:rsidRPr="00E8774E">
              <w:rPr>
                <w:rFonts w:ascii="Arial" w:hAnsi="Arial" w:cs="Arial"/>
                <w:sz w:val="24"/>
                <w:szCs w:val="24"/>
              </w:rPr>
              <w:t xml:space="preserve"> possibile stipulare il contratto a seguito di autocertificazione dell’operatore </w:t>
            </w:r>
            <w:r w:rsidR="00F64E4B" w:rsidRPr="00E8774E">
              <w:rPr>
                <w:rFonts w:ascii="Arial" w:hAnsi="Arial" w:cs="Arial"/>
                <w:sz w:val="24"/>
                <w:szCs w:val="24"/>
              </w:rPr>
              <w:t>e</w:t>
            </w:r>
            <w:r w:rsidRPr="00E8774E">
              <w:rPr>
                <w:rFonts w:ascii="Arial" w:hAnsi="Arial" w:cs="Arial"/>
                <w:sz w:val="24"/>
                <w:szCs w:val="24"/>
              </w:rPr>
              <w:t xml:space="preserve">conomico in ordine al possesso dei requisiti, nel rispetto del periodo di stand </w:t>
            </w:r>
            <w:proofErr w:type="spellStart"/>
            <w:r w:rsidRPr="00E8774E">
              <w:rPr>
                <w:rFonts w:ascii="Arial" w:hAnsi="Arial" w:cs="Arial"/>
                <w:sz w:val="24"/>
                <w:szCs w:val="24"/>
              </w:rPr>
              <w:t>still</w:t>
            </w:r>
            <w:proofErr w:type="spellEnd"/>
            <w:r w:rsidRPr="00E8774E">
              <w:rPr>
                <w:rFonts w:ascii="Arial" w:hAnsi="Arial" w:cs="Arial"/>
                <w:sz w:val="24"/>
                <w:szCs w:val="24"/>
              </w:rPr>
              <w:t>.</w:t>
            </w:r>
          </w:p>
        </w:tc>
        <w:tc>
          <w:tcPr>
            <w:tcW w:w="2694" w:type="dxa"/>
          </w:tcPr>
          <w:p w14:paraId="392AD224" w14:textId="77777777" w:rsidR="00F64E3C" w:rsidRPr="00E8774E" w:rsidRDefault="00F64E3C" w:rsidP="00867EA5">
            <w:pPr>
              <w:jc w:val="both"/>
              <w:rPr>
                <w:rFonts w:ascii="Arial" w:hAnsi="Arial" w:cs="Arial"/>
                <w:sz w:val="24"/>
                <w:szCs w:val="24"/>
              </w:rPr>
            </w:pPr>
          </w:p>
          <w:p w14:paraId="7E2B5F34" w14:textId="719DCBD5" w:rsidR="00F64E4B" w:rsidRPr="00E8774E" w:rsidRDefault="00F64E4B" w:rsidP="00867EA5">
            <w:pPr>
              <w:jc w:val="both"/>
              <w:rPr>
                <w:rFonts w:ascii="Arial" w:hAnsi="Arial" w:cs="Arial"/>
                <w:sz w:val="24"/>
                <w:szCs w:val="24"/>
              </w:rPr>
            </w:pPr>
            <w:r w:rsidRPr="00E8774E">
              <w:rPr>
                <w:rFonts w:ascii="Arial" w:hAnsi="Arial" w:cs="Arial"/>
                <w:sz w:val="24"/>
                <w:szCs w:val="24"/>
              </w:rPr>
              <w:t xml:space="preserve">Art. 53 D.L. n. 77/2021 </w:t>
            </w:r>
            <w:proofErr w:type="spellStart"/>
            <w:r w:rsidRPr="00E8774E">
              <w:rPr>
                <w:rFonts w:ascii="Arial" w:hAnsi="Arial" w:cs="Arial"/>
                <w:sz w:val="24"/>
                <w:szCs w:val="24"/>
              </w:rPr>
              <w:t>conv</w:t>
            </w:r>
            <w:proofErr w:type="spellEnd"/>
            <w:r w:rsidRPr="00E8774E">
              <w:rPr>
                <w:rFonts w:ascii="Arial" w:hAnsi="Arial" w:cs="Arial"/>
                <w:sz w:val="24"/>
                <w:szCs w:val="24"/>
              </w:rPr>
              <w:t xml:space="preserve">. </w:t>
            </w:r>
            <w:r w:rsidR="00091B32" w:rsidRPr="00E8774E">
              <w:rPr>
                <w:rFonts w:ascii="Arial" w:hAnsi="Arial" w:cs="Arial"/>
                <w:sz w:val="24"/>
                <w:szCs w:val="24"/>
              </w:rPr>
              <w:t>i</w:t>
            </w:r>
            <w:r w:rsidRPr="00E8774E">
              <w:rPr>
                <w:rFonts w:ascii="Arial" w:hAnsi="Arial" w:cs="Arial"/>
                <w:sz w:val="24"/>
                <w:szCs w:val="24"/>
              </w:rPr>
              <w:t>n l. n. 108/2021</w:t>
            </w:r>
          </w:p>
        </w:tc>
        <w:tc>
          <w:tcPr>
            <w:tcW w:w="2685" w:type="dxa"/>
          </w:tcPr>
          <w:p w14:paraId="60F03BBC" w14:textId="77777777" w:rsidR="00F64E3C" w:rsidRPr="00E8774E" w:rsidRDefault="00F64E3C" w:rsidP="00867EA5">
            <w:pPr>
              <w:jc w:val="both"/>
              <w:rPr>
                <w:rFonts w:ascii="Arial" w:hAnsi="Arial" w:cs="Arial"/>
                <w:sz w:val="24"/>
                <w:szCs w:val="24"/>
              </w:rPr>
            </w:pPr>
          </w:p>
        </w:tc>
      </w:tr>
      <w:tr w:rsidR="007970B7" w14:paraId="2792EB7B" w14:textId="77777777" w:rsidTr="007970B7">
        <w:tc>
          <w:tcPr>
            <w:tcW w:w="15871" w:type="dxa"/>
          </w:tcPr>
          <w:p w14:paraId="406F3D1C" w14:textId="23739061" w:rsidR="0050029B" w:rsidRPr="00E8774E" w:rsidRDefault="00876E8F" w:rsidP="00867EA5">
            <w:pPr>
              <w:pStyle w:val="Paragrafoelenco"/>
              <w:numPr>
                <w:ilvl w:val="0"/>
                <w:numId w:val="1"/>
              </w:numPr>
              <w:jc w:val="both"/>
              <w:rPr>
                <w:rFonts w:ascii="Arial" w:hAnsi="Arial" w:cs="Arial"/>
                <w:sz w:val="24"/>
                <w:szCs w:val="24"/>
              </w:rPr>
            </w:pPr>
            <w:r w:rsidRPr="00E8774E">
              <w:rPr>
                <w:rFonts w:ascii="Arial" w:hAnsi="Arial" w:cs="Arial"/>
                <w:b/>
                <w:sz w:val="24"/>
                <w:szCs w:val="24"/>
              </w:rPr>
              <w:t xml:space="preserve"> Procedura negoziata senza previa pubblicazione del bando </w:t>
            </w:r>
          </w:p>
          <w:p w14:paraId="7DA43DC1" w14:textId="011895E1" w:rsidR="007970B7" w:rsidRPr="00E8774E" w:rsidRDefault="007970B7" w:rsidP="00867EA5">
            <w:pPr>
              <w:pStyle w:val="Paragrafoelenco"/>
              <w:jc w:val="both"/>
              <w:rPr>
                <w:rFonts w:ascii="Arial" w:hAnsi="Arial" w:cs="Arial"/>
                <w:sz w:val="24"/>
                <w:szCs w:val="24"/>
              </w:rPr>
            </w:pPr>
            <w:r w:rsidRPr="00E8774E">
              <w:rPr>
                <w:rFonts w:ascii="Arial" w:hAnsi="Arial" w:cs="Arial"/>
                <w:sz w:val="24"/>
                <w:szCs w:val="24"/>
              </w:rPr>
              <w:t>Si applica la procedura negoziata senza previa pubblicazione del bando di gara dell’art.</w:t>
            </w:r>
            <w:r w:rsidR="0050029B" w:rsidRPr="00E8774E">
              <w:rPr>
                <w:rFonts w:ascii="Arial" w:hAnsi="Arial" w:cs="Arial"/>
                <w:sz w:val="24"/>
                <w:szCs w:val="24"/>
              </w:rPr>
              <w:t xml:space="preserve"> 76 D.lgs. 36/2023</w:t>
            </w:r>
            <w:r w:rsidR="00F84DE2" w:rsidRPr="00E8774E">
              <w:rPr>
                <w:rFonts w:ascii="Arial" w:hAnsi="Arial" w:cs="Arial"/>
                <w:sz w:val="24"/>
                <w:szCs w:val="24"/>
              </w:rPr>
              <w:t xml:space="preserve"> </w:t>
            </w:r>
            <w:r w:rsidRPr="00E8774E">
              <w:rPr>
                <w:rFonts w:ascii="Arial" w:hAnsi="Arial" w:cs="Arial"/>
                <w:sz w:val="24"/>
                <w:szCs w:val="24"/>
              </w:rPr>
              <w:t>per i settori ordinari (procedura negoziata senza previa indizione di gara) nella misura strettamente necessaria quando, per ragioni di estrema urgenza derivanti da circostanze imprevedibili e non imputabili alla s.a., l’applicazione dei termini anche abbreviati delle procedure ordinarie possa compromettere la realizzazione degli obiettivi del PNRR e PNC.</w:t>
            </w:r>
            <w:r w:rsidR="002C221F" w:rsidRPr="00E8774E">
              <w:rPr>
                <w:rFonts w:ascii="Arial" w:hAnsi="Arial" w:cs="Arial"/>
                <w:sz w:val="24"/>
                <w:szCs w:val="24"/>
              </w:rPr>
              <w:t xml:space="preserve"> La</w:t>
            </w:r>
            <w:r w:rsidR="00DD3CFA" w:rsidRPr="00E8774E">
              <w:rPr>
                <w:rFonts w:ascii="Arial" w:hAnsi="Arial" w:cs="Arial"/>
                <w:sz w:val="24"/>
                <w:szCs w:val="24"/>
              </w:rPr>
              <w:t xml:space="preserve"> relativa motivazione va specificata nella </w:t>
            </w:r>
            <w:r w:rsidR="00BC4B65">
              <w:rPr>
                <w:rFonts w:ascii="Arial" w:hAnsi="Arial" w:cs="Arial"/>
                <w:sz w:val="24"/>
                <w:szCs w:val="24"/>
              </w:rPr>
              <w:t>decisione di</w:t>
            </w:r>
            <w:r w:rsidR="00DD3CFA" w:rsidRPr="00E8774E">
              <w:rPr>
                <w:rFonts w:ascii="Arial" w:hAnsi="Arial" w:cs="Arial"/>
                <w:sz w:val="24"/>
                <w:szCs w:val="24"/>
              </w:rPr>
              <w:t xml:space="preserve"> contrarre.</w:t>
            </w:r>
          </w:p>
        </w:tc>
        <w:tc>
          <w:tcPr>
            <w:tcW w:w="2694" w:type="dxa"/>
          </w:tcPr>
          <w:p w14:paraId="20E202CF" w14:textId="6A6B9D16" w:rsidR="007970B7" w:rsidRDefault="0050029B" w:rsidP="00867EA5">
            <w:pPr>
              <w:jc w:val="both"/>
              <w:rPr>
                <w:rFonts w:ascii="Arial" w:hAnsi="Arial" w:cs="Arial"/>
                <w:sz w:val="24"/>
                <w:szCs w:val="24"/>
              </w:rPr>
            </w:pPr>
            <w:r w:rsidRPr="00E8774E">
              <w:rPr>
                <w:rFonts w:ascii="Arial" w:hAnsi="Arial" w:cs="Arial"/>
                <w:sz w:val="24"/>
                <w:szCs w:val="24"/>
              </w:rPr>
              <w:t xml:space="preserve">Art. 48 comma 3 D.L. n. 77/2021 </w:t>
            </w:r>
            <w:proofErr w:type="spellStart"/>
            <w:r w:rsidRPr="00E8774E">
              <w:rPr>
                <w:rFonts w:ascii="Arial" w:hAnsi="Arial" w:cs="Arial"/>
                <w:sz w:val="24"/>
                <w:szCs w:val="24"/>
              </w:rPr>
              <w:t>conv</w:t>
            </w:r>
            <w:proofErr w:type="spellEnd"/>
            <w:r w:rsidRPr="00E8774E">
              <w:rPr>
                <w:rFonts w:ascii="Arial" w:hAnsi="Arial" w:cs="Arial"/>
                <w:sz w:val="24"/>
                <w:szCs w:val="24"/>
              </w:rPr>
              <w:t>. in l. n. 108/2021</w:t>
            </w:r>
          </w:p>
        </w:tc>
        <w:tc>
          <w:tcPr>
            <w:tcW w:w="2685" w:type="dxa"/>
          </w:tcPr>
          <w:p w14:paraId="1992960B" w14:textId="77777777" w:rsidR="007970B7" w:rsidRDefault="007970B7" w:rsidP="00867EA5">
            <w:pPr>
              <w:jc w:val="both"/>
              <w:rPr>
                <w:rFonts w:ascii="Arial" w:hAnsi="Arial" w:cs="Arial"/>
                <w:sz w:val="24"/>
                <w:szCs w:val="24"/>
              </w:rPr>
            </w:pPr>
          </w:p>
        </w:tc>
      </w:tr>
    </w:tbl>
    <w:p w14:paraId="088D6713" w14:textId="19A65C3D" w:rsidR="00B7343D" w:rsidRPr="00FF77A5" w:rsidRDefault="00B7343D" w:rsidP="00867EA5">
      <w:pPr>
        <w:jc w:val="both"/>
        <w:rPr>
          <w:rFonts w:ascii="Arial" w:hAnsi="Arial" w:cs="Arial"/>
          <w:sz w:val="24"/>
          <w:szCs w:val="24"/>
        </w:rPr>
      </w:pPr>
    </w:p>
    <w:sectPr w:rsidR="00B7343D" w:rsidRPr="00FF77A5" w:rsidSect="008E53B6">
      <w:footerReference w:type="default" r:id="rId9"/>
      <w:pgSz w:w="23811" w:h="16838" w:orient="landscape" w:code="8"/>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4749" w14:textId="77777777" w:rsidR="00877679" w:rsidRDefault="00877679" w:rsidP="00877679">
      <w:pPr>
        <w:spacing w:after="0" w:line="240" w:lineRule="auto"/>
      </w:pPr>
      <w:r>
        <w:separator/>
      </w:r>
    </w:p>
  </w:endnote>
  <w:endnote w:type="continuationSeparator" w:id="0">
    <w:p w14:paraId="7FE68574" w14:textId="77777777" w:rsidR="00877679" w:rsidRDefault="00877679" w:rsidP="0087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656054"/>
      <w:docPartObj>
        <w:docPartGallery w:val="Page Numbers (Bottom of Page)"/>
        <w:docPartUnique/>
      </w:docPartObj>
    </w:sdtPr>
    <w:sdtEndPr/>
    <w:sdtContent>
      <w:p w14:paraId="6D388CAD" w14:textId="2F4EC115" w:rsidR="00634F0B" w:rsidRDefault="00634F0B">
        <w:pPr>
          <w:pStyle w:val="Pidipagina"/>
          <w:jc w:val="center"/>
        </w:pPr>
        <w:r>
          <w:fldChar w:fldCharType="begin"/>
        </w:r>
        <w:r>
          <w:instrText>PAGE   \* MERGEFORMAT</w:instrText>
        </w:r>
        <w:r>
          <w:fldChar w:fldCharType="separate"/>
        </w:r>
        <w:r>
          <w:t>2</w:t>
        </w:r>
        <w:r>
          <w:fldChar w:fldCharType="end"/>
        </w:r>
      </w:p>
    </w:sdtContent>
  </w:sdt>
  <w:p w14:paraId="60B9D03C" w14:textId="2995A71B" w:rsidR="00877679" w:rsidRDefault="00877679" w:rsidP="00877679">
    <w:pPr>
      <w:pStyle w:val="Pidipagina"/>
      <w:ind w:left="14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7333" w14:textId="77777777" w:rsidR="00877679" w:rsidRDefault="00877679" w:rsidP="00877679">
      <w:pPr>
        <w:spacing w:after="0" w:line="240" w:lineRule="auto"/>
      </w:pPr>
      <w:r>
        <w:separator/>
      </w:r>
    </w:p>
  </w:footnote>
  <w:footnote w:type="continuationSeparator" w:id="0">
    <w:p w14:paraId="1D7F80D6" w14:textId="77777777" w:rsidR="00877679" w:rsidRDefault="00877679" w:rsidP="00877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11"/>
    <w:multiLevelType w:val="hybridMultilevel"/>
    <w:tmpl w:val="488E06F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C04592C"/>
    <w:multiLevelType w:val="hybridMultilevel"/>
    <w:tmpl w:val="F264757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89E0BB7A">
      <w:start w:val="1"/>
      <w:numFmt w:val="decimal"/>
      <w:lvlText w:val="%4."/>
      <w:lvlJc w:val="left"/>
      <w:pPr>
        <w:ind w:left="2880" w:hanging="360"/>
      </w:pPr>
      <w:rPr>
        <w:color w:val="auto"/>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F306E9"/>
    <w:multiLevelType w:val="hybridMultilevel"/>
    <w:tmpl w:val="7B7A81E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E894F7F4">
      <w:start w:val="3"/>
      <w:numFmt w:val="bullet"/>
      <w:lvlText w:val="-"/>
      <w:lvlJc w:val="left"/>
      <w:pPr>
        <w:ind w:left="3600" w:hanging="360"/>
      </w:pPr>
      <w:rPr>
        <w:rFonts w:ascii="Arial" w:eastAsiaTheme="minorHAnsi" w:hAnsi="Arial" w:cs="Arial"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7B78AF"/>
    <w:multiLevelType w:val="hybridMultilevel"/>
    <w:tmpl w:val="BF8A9298"/>
    <w:lvl w:ilvl="0" w:tplc="70A01E0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1577B12"/>
    <w:multiLevelType w:val="hybridMultilevel"/>
    <w:tmpl w:val="8C0C3F7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41924062"/>
    <w:multiLevelType w:val="hybridMultilevel"/>
    <w:tmpl w:val="F6C8DFC0"/>
    <w:lvl w:ilvl="0" w:tplc="1EECC5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D7656B"/>
    <w:multiLevelType w:val="hybridMultilevel"/>
    <w:tmpl w:val="0EC6359E"/>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59171B42"/>
    <w:multiLevelType w:val="hybridMultilevel"/>
    <w:tmpl w:val="D8A23680"/>
    <w:lvl w:ilvl="0" w:tplc="130CF9AC">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30444A"/>
    <w:multiLevelType w:val="hybridMultilevel"/>
    <w:tmpl w:val="401E3FA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628D7D62"/>
    <w:multiLevelType w:val="hybridMultilevel"/>
    <w:tmpl w:val="2420326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637B24A6"/>
    <w:multiLevelType w:val="hybridMultilevel"/>
    <w:tmpl w:val="705037A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648D4279"/>
    <w:multiLevelType w:val="hybridMultilevel"/>
    <w:tmpl w:val="37B8E91A"/>
    <w:lvl w:ilvl="0" w:tplc="9ED001AA">
      <w:start w:val="1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9D3128C"/>
    <w:multiLevelType w:val="hybridMultilevel"/>
    <w:tmpl w:val="4FDC0628"/>
    <w:lvl w:ilvl="0" w:tplc="308CCE62">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60661C"/>
    <w:multiLevelType w:val="hybridMultilevel"/>
    <w:tmpl w:val="3210FCD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4" w15:restartNumberingAfterBreak="0">
    <w:nsid w:val="71EA6648"/>
    <w:multiLevelType w:val="hybridMultilevel"/>
    <w:tmpl w:val="8280D5AA"/>
    <w:lvl w:ilvl="0" w:tplc="8420548A">
      <w:start w:val="1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D1F590A"/>
    <w:multiLevelType w:val="hybridMultilevel"/>
    <w:tmpl w:val="1A88189A"/>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12"/>
  </w:num>
  <w:num w:numId="2">
    <w:abstractNumId w:val="1"/>
  </w:num>
  <w:num w:numId="3">
    <w:abstractNumId w:val="2"/>
  </w:num>
  <w:num w:numId="4">
    <w:abstractNumId w:val="3"/>
  </w:num>
  <w:num w:numId="5">
    <w:abstractNumId w:val="7"/>
  </w:num>
  <w:num w:numId="6">
    <w:abstractNumId w:val="14"/>
  </w:num>
  <w:num w:numId="7">
    <w:abstractNumId w:val="11"/>
  </w:num>
  <w:num w:numId="8">
    <w:abstractNumId w:val="9"/>
  </w:num>
  <w:num w:numId="9">
    <w:abstractNumId w:val="8"/>
  </w:num>
  <w:num w:numId="10">
    <w:abstractNumId w:val="13"/>
  </w:num>
  <w:num w:numId="11">
    <w:abstractNumId w:val="10"/>
  </w:num>
  <w:num w:numId="12">
    <w:abstractNumId w:val="0"/>
  </w:num>
  <w:num w:numId="13">
    <w:abstractNumId w:val="4"/>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3D"/>
    <w:rsid w:val="00016597"/>
    <w:rsid w:val="000204D3"/>
    <w:rsid w:val="00040448"/>
    <w:rsid w:val="00041D5E"/>
    <w:rsid w:val="00055207"/>
    <w:rsid w:val="00060E8D"/>
    <w:rsid w:val="00081B0B"/>
    <w:rsid w:val="00091892"/>
    <w:rsid w:val="00091B32"/>
    <w:rsid w:val="000A160A"/>
    <w:rsid w:val="000B7046"/>
    <w:rsid w:val="000C324F"/>
    <w:rsid w:val="000C3B2E"/>
    <w:rsid w:val="000C776F"/>
    <w:rsid w:val="000D0377"/>
    <w:rsid w:val="000D1104"/>
    <w:rsid w:val="000D5E82"/>
    <w:rsid w:val="000D76AB"/>
    <w:rsid w:val="000E0020"/>
    <w:rsid w:val="000E1FAD"/>
    <w:rsid w:val="001020A0"/>
    <w:rsid w:val="001105CE"/>
    <w:rsid w:val="001147C3"/>
    <w:rsid w:val="001431CD"/>
    <w:rsid w:val="001458CF"/>
    <w:rsid w:val="001611F5"/>
    <w:rsid w:val="00170139"/>
    <w:rsid w:val="001A36D2"/>
    <w:rsid w:val="001A4696"/>
    <w:rsid w:val="001B1757"/>
    <w:rsid w:val="001D3B02"/>
    <w:rsid w:val="001D608F"/>
    <w:rsid w:val="001F7247"/>
    <w:rsid w:val="00214952"/>
    <w:rsid w:val="002242F7"/>
    <w:rsid w:val="00224669"/>
    <w:rsid w:val="00235EFD"/>
    <w:rsid w:val="00236B3C"/>
    <w:rsid w:val="002417EE"/>
    <w:rsid w:val="002421E7"/>
    <w:rsid w:val="00243B93"/>
    <w:rsid w:val="00246ABA"/>
    <w:rsid w:val="00250EC0"/>
    <w:rsid w:val="002525AB"/>
    <w:rsid w:val="00257CA5"/>
    <w:rsid w:val="00257CCC"/>
    <w:rsid w:val="0028281C"/>
    <w:rsid w:val="0028339D"/>
    <w:rsid w:val="002919E8"/>
    <w:rsid w:val="00292CCA"/>
    <w:rsid w:val="002C221F"/>
    <w:rsid w:val="002C2A07"/>
    <w:rsid w:val="002E1249"/>
    <w:rsid w:val="002F1C60"/>
    <w:rsid w:val="002F54CF"/>
    <w:rsid w:val="00314A7E"/>
    <w:rsid w:val="00321BA9"/>
    <w:rsid w:val="003253C7"/>
    <w:rsid w:val="00330C0A"/>
    <w:rsid w:val="00337AC0"/>
    <w:rsid w:val="003437C6"/>
    <w:rsid w:val="00375B94"/>
    <w:rsid w:val="00376437"/>
    <w:rsid w:val="003B120C"/>
    <w:rsid w:val="003B3A62"/>
    <w:rsid w:val="003C1CB6"/>
    <w:rsid w:val="003C7D81"/>
    <w:rsid w:val="003C7FF1"/>
    <w:rsid w:val="003F0B5D"/>
    <w:rsid w:val="003F2EAA"/>
    <w:rsid w:val="0041537D"/>
    <w:rsid w:val="00420496"/>
    <w:rsid w:val="00425BB8"/>
    <w:rsid w:val="0042796C"/>
    <w:rsid w:val="004327E0"/>
    <w:rsid w:val="00456472"/>
    <w:rsid w:val="004564B5"/>
    <w:rsid w:val="00457C98"/>
    <w:rsid w:val="004A22D3"/>
    <w:rsid w:val="004B182D"/>
    <w:rsid w:val="004C7B0C"/>
    <w:rsid w:val="004D27B1"/>
    <w:rsid w:val="004D66AB"/>
    <w:rsid w:val="004E5E62"/>
    <w:rsid w:val="004E778C"/>
    <w:rsid w:val="004F722A"/>
    <w:rsid w:val="0050029B"/>
    <w:rsid w:val="00504412"/>
    <w:rsid w:val="005175E4"/>
    <w:rsid w:val="00522FA0"/>
    <w:rsid w:val="00525793"/>
    <w:rsid w:val="00525B62"/>
    <w:rsid w:val="00537BE8"/>
    <w:rsid w:val="005613F0"/>
    <w:rsid w:val="00575582"/>
    <w:rsid w:val="005A4BBA"/>
    <w:rsid w:val="005B7241"/>
    <w:rsid w:val="005C77AC"/>
    <w:rsid w:val="005D40DC"/>
    <w:rsid w:val="005D6162"/>
    <w:rsid w:val="005E1D70"/>
    <w:rsid w:val="005F7181"/>
    <w:rsid w:val="00615989"/>
    <w:rsid w:val="00617B21"/>
    <w:rsid w:val="00627983"/>
    <w:rsid w:val="00630E47"/>
    <w:rsid w:val="00634F0B"/>
    <w:rsid w:val="00655D4A"/>
    <w:rsid w:val="00657DA9"/>
    <w:rsid w:val="00673D64"/>
    <w:rsid w:val="006812EB"/>
    <w:rsid w:val="006C7E06"/>
    <w:rsid w:val="006D466C"/>
    <w:rsid w:val="006D7927"/>
    <w:rsid w:val="006F00E6"/>
    <w:rsid w:val="007008D8"/>
    <w:rsid w:val="0071708B"/>
    <w:rsid w:val="00717E2D"/>
    <w:rsid w:val="00723097"/>
    <w:rsid w:val="0072716E"/>
    <w:rsid w:val="00730C1C"/>
    <w:rsid w:val="00732466"/>
    <w:rsid w:val="007352ED"/>
    <w:rsid w:val="00744110"/>
    <w:rsid w:val="007454BD"/>
    <w:rsid w:val="007505E7"/>
    <w:rsid w:val="00756F87"/>
    <w:rsid w:val="007657DD"/>
    <w:rsid w:val="007779EF"/>
    <w:rsid w:val="007803A1"/>
    <w:rsid w:val="0078241B"/>
    <w:rsid w:val="00787DAF"/>
    <w:rsid w:val="007970B7"/>
    <w:rsid w:val="007A2B3E"/>
    <w:rsid w:val="007A3712"/>
    <w:rsid w:val="007A56C1"/>
    <w:rsid w:val="007C2A6F"/>
    <w:rsid w:val="007C321A"/>
    <w:rsid w:val="007C7A05"/>
    <w:rsid w:val="007D46CB"/>
    <w:rsid w:val="007E4989"/>
    <w:rsid w:val="007E6FD6"/>
    <w:rsid w:val="007E7063"/>
    <w:rsid w:val="00825981"/>
    <w:rsid w:val="00833F79"/>
    <w:rsid w:val="00867EA5"/>
    <w:rsid w:val="00876E8F"/>
    <w:rsid w:val="00877679"/>
    <w:rsid w:val="00880026"/>
    <w:rsid w:val="00880DDC"/>
    <w:rsid w:val="008841F8"/>
    <w:rsid w:val="008901D3"/>
    <w:rsid w:val="00894DF3"/>
    <w:rsid w:val="008B028E"/>
    <w:rsid w:val="008C6F0C"/>
    <w:rsid w:val="008E53B6"/>
    <w:rsid w:val="008F1E65"/>
    <w:rsid w:val="00912B9B"/>
    <w:rsid w:val="00922989"/>
    <w:rsid w:val="00924EF1"/>
    <w:rsid w:val="009349F5"/>
    <w:rsid w:val="00940355"/>
    <w:rsid w:val="00964483"/>
    <w:rsid w:val="009665AD"/>
    <w:rsid w:val="00972DB4"/>
    <w:rsid w:val="009B5BC3"/>
    <w:rsid w:val="009E2019"/>
    <w:rsid w:val="009F31DD"/>
    <w:rsid w:val="00A077FB"/>
    <w:rsid w:val="00A27570"/>
    <w:rsid w:val="00A34BC2"/>
    <w:rsid w:val="00A43D9B"/>
    <w:rsid w:val="00A45400"/>
    <w:rsid w:val="00A859C7"/>
    <w:rsid w:val="00A90AEE"/>
    <w:rsid w:val="00AA3731"/>
    <w:rsid w:val="00AA7968"/>
    <w:rsid w:val="00AB2CEA"/>
    <w:rsid w:val="00AB6756"/>
    <w:rsid w:val="00AC3915"/>
    <w:rsid w:val="00AF18CE"/>
    <w:rsid w:val="00B03246"/>
    <w:rsid w:val="00B03581"/>
    <w:rsid w:val="00B12A48"/>
    <w:rsid w:val="00B313F9"/>
    <w:rsid w:val="00B36D76"/>
    <w:rsid w:val="00B402F2"/>
    <w:rsid w:val="00B43EB4"/>
    <w:rsid w:val="00B53E6A"/>
    <w:rsid w:val="00B7343D"/>
    <w:rsid w:val="00B86EBB"/>
    <w:rsid w:val="00B96BC0"/>
    <w:rsid w:val="00BB05BE"/>
    <w:rsid w:val="00BC4B65"/>
    <w:rsid w:val="00BC6A1E"/>
    <w:rsid w:val="00BD3068"/>
    <w:rsid w:val="00BD691B"/>
    <w:rsid w:val="00BE0C5D"/>
    <w:rsid w:val="00BF382D"/>
    <w:rsid w:val="00C3164C"/>
    <w:rsid w:val="00C403C1"/>
    <w:rsid w:val="00C4269B"/>
    <w:rsid w:val="00C44C91"/>
    <w:rsid w:val="00C63479"/>
    <w:rsid w:val="00C67819"/>
    <w:rsid w:val="00C76906"/>
    <w:rsid w:val="00C922D9"/>
    <w:rsid w:val="00CC51FB"/>
    <w:rsid w:val="00CD0D41"/>
    <w:rsid w:val="00CF05D3"/>
    <w:rsid w:val="00CF68A5"/>
    <w:rsid w:val="00D12A59"/>
    <w:rsid w:val="00D345F0"/>
    <w:rsid w:val="00D52EEF"/>
    <w:rsid w:val="00D77B81"/>
    <w:rsid w:val="00DA401C"/>
    <w:rsid w:val="00DA5609"/>
    <w:rsid w:val="00DC7F03"/>
    <w:rsid w:val="00DD3CFA"/>
    <w:rsid w:val="00DF2CE9"/>
    <w:rsid w:val="00E20B06"/>
    <w:rsid w:val="00E45271"/>
    <w:rsid w:val="00E55C7F"/>
    <w:rsid w:val="00E7005F"/>
    <w:rsid w:val="00E71EB9"/>
    <w:rsid w:val="00E746ED"/>
    <w:rsid w:val="00E8774E"/>
    <w:rsid w:val="00ED777E"/>
    <w:rsid w:val="00EF24F1"/>
    <w:rsid w:val="00F04880"/>
    <w:rsid w:val="00F04EBE"/>
    <w:rsid w:val="00F056A4"/>
    <w:rsid w:val="00F12934"/>
    <w:rsid w:val="00F13042"/>
    <w:rsid w:val="00F22AF7"/>
    <w:rsid w:val="00F24F51"/>
    <w:rsid w:val="00F3460D"/>
    <w:rsid w:val="00F43EF9"/>
    <w:rsid w:val="00F64E3C"/>
    <w:rsid w:val="00F64E4B"/>
    <w:rsid w:val="00F71712"/>
    <w:rsid w:val="00F81511"/>
    <w:rsid w:val="00F832E7"/>
    <w:rsid w:val="00F84DE2"/>
    <w:rsid w:val="00F90588"/>
    <w:rsid w:val="00FA04C5"/>
    <w:rsid w:val="00FA7220"/>
    <w:rsid w:val="00FB6CF2"/>
    <w:rsid w:val="00FC16CB"/>
    <w:rsid w:val="00FF77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A151"/>
  <w15:chartTrackingRefBased/>
  <w15:docId w15:val="{DDFF944B-BBEF-43BA-990E-6CCD8BAE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E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E53B6"/>
    <w:pPr>
      <w:ind w:left="720"/>
      <w:contextualSpacing/>
    </w:pPr>
  </w:style>
  <w:style w:type="paragraph" w:customStyle="1" w:styleId="Default">
    <w:name w:val="Default"/>
    <w:rsid w:val="003F0B5D"/>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8776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7679"/>
  </w:style>
  <w:style w:type="paragraph" w:styleId="Pidipagina">
    <w:name w:val="footer"/>
    <w:basedOn w:val="Normale"/>
    <w:link w:val="PidipaginaCarattere"/>
    <w:uiPriority w:val="99"/>
    <w:unhideWhenUsed/>
    <w:rsid w:val="008776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7679"/>
  </w:style>
  <w:style w:type="paragraph" w:styleId="Testofumetto">
    <w:name w:val="Balloon Text"/>
    <w:basedOn w:val="Normale"/>
    <w:link w:val="TestofumettoCarattere"/>
    <w:uiPriority w:val="99"/>
    <w:semiHidden/>
    <w:unhideWhenUsed/>
    <w:rsid w:val="007454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54BD"/>
    <w:rPr>
      <w:rFonts w:ascii="Segoe UI" w:hAnsi="Segoe UI" w:cs="Segoe UI"/>
      <w:sz w:val="18"/>
      <w:szCs w:val="18"/>
    </w:rPr>
  </w:style>
  <w:style w:type="character" w:styleId="Collegamentoipertestuale">
    <w:name w:val="Hyperlink"/>
    <w:basedOn w:val="Carpredefinitoparagrafo"/>
    <w:uiPriority w:val="99"/>
    <w:unhideWhenUsed/>
    <w:rsid w:val="005A4BBA"/>
    <w:rPr>
      <w:color w:val="0563C1" w:themeColor="hyperlink"/>
      <w:u w:val="single"/>
    </w:rPr>
  </w:style>
  <w:style w:type="character" w:styleId="Menzionenonrisolta">
    <w:name w:val="Unresolved Mention"/>
    <w:basedOn w:val="Carpredefinitoparagrafo"/>
    <w:uiPriority w:val="99"/>
    <w:semiHidden/>
    <w:unhideWhenUsed/>
    <w:rsid w:val="005A4BBA"/>
    <w:rPr>
      <w:color w:val="605E5C"/>
      <w:shd w:val="clear" w:color="auto" w:fill="E1DFDD"/>
    </w:rPr>
  </w:style>
  <w:style w:type="paragraph" w:styleId="PreformattatoHTML">
    <w:name w:val="HTML Preformatted"/>
    <w:basedOn w:val="Normale"/>
    <w:link w:val="PreformattatoHTMLCarattere"/>
    <w:uiPriority w:val="99"/>
    <w:unhideWhenUsed/>
    <w:rsid w:val="00F1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F13042"/>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9124">
      <w:bodyDiv w:val="1"/>
      <w:marLeft w:val="0"/>
      <w:marRight w:val="0"/>
      <w:marTop w:val="0"/>
      <w:marBottom w:val="0"/>
      <w:divBdr>
        <w:top w:val="none" w:sz="0" w:space="0" w:color="auto"/>
        <w:left w:val="none" w:sz="0" w:space="0" w:color="auto"/>
        <w:bottom w:val="none" w:sz="0" w:space="0" w:color="auto"/>
        <w:right w:val="none" w:sz="0" w:space="0" w:color="auto"/>
      </w:divBdr>
    </w:div>
    <w:div w:id="1239906766">
      <w:bodyDiv w:val="1"/>
      <w:marLeft w:val="0"/>
      <w:marRight w:val="0"/>
      <w:marTop w:val="0"/>
      <w:marBottom w:val="0"/>
      <w:divBdr>
        <w:top w:val="none" w:sz="0" w:space="0" w:color="auto"/>
        <w:left w:val="none" w:sz="0" w:space="0" w:color="auto"/>
        <w:bottom w:val="none" w:sz="0" w:space="0" w:color="auto"/>
        <w:right w:val="none" w:sz="0" w:space="0" w:color="auto"/>
      </w:divBdr>
    </w:div>
    <w:div w:id="15642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niroma1.it/trasparenza/sites/default/files/PIAO_2023_2025_COMPLETO_ara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E609-1C59-4815-80AD-B0891266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4</Pages>
  <Words>2945</Words>
  <Characters>16790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 Alessandra</dc:creator>
  <cp:keywords/>
  <dc:description/>
  <cp:lastModifiedBy>Stefania Santini</cp:lastModifiedBy>
  <cp:revision>142</cp:revision>
  <cp:lastPrinted>2023-11-27T10:38:00Z</cp:lastPrinted>
  <dcterms:created xsi:type="dcterms:W3CDTF">2023-09-28T09:24:00Z</dcterms:created>
  <dcterms:modified xsi:type="dcterms:W3CDTF">2023-11-27T10:53:00Z</dcterms:modified>
</cp:coreProperties>
</file>