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447" w:rsidRDefault="00B76447" w:rsidP="00B76447">
      <w:pPr>
        <w:pStyle w:val="NormaleWeb"/>
      </w:pPr>
      <w:r>
        <w:rPr>
          <w:rFonts w:ascii="ArialMT" w:hAnsi="ArialMT"/>
          <w:sz w:val="36"/>
          <w:szCs w:val="36"/>
        </w:rPr>
        <w:t xml:space="preserve">UNIVERSITY OF ROME "LA SAPIENZA" </w:t>
      </w:r>
    </w:p>
    <w:p w:rsidR="00B76447" w:rsidRPr="00B76447" w:rsidRDefault="00B76447" w:rsidP="00B76447">
      <w:pPr>
        <w:pStyle w:val="NormaleWeb"/>
        <w:rPr>
          <w:lang w:val="en-US"/>
        </w:rPr>
      </w:pPr>
      <w:r w:rsidRPr="00B76447">
        <w:rPr>
          <w:rFonts w:ascii="ArialMT" w:hAnsi="ArialMT"/>
          <w:sz w:val="20"/>
          <w:szCs w:val="20"/>
          <w:lang w:val="en-US"/>
        </w:rPr>
        <w:t xml:space="preserve">Human Resources Area </w:t>
      </w:r>
      <w:r w:rsidRPr="00B76447">
        <w:rPr>
          <w:rFonts w:ascii="ArialMT" w:hAnsi="ArialMT"/>
          <w:sz w:val="20"/>
          <w:szCs w:val="20"/>
          <w:lang w:val="en-US"/>
        </w:rPr>
        <w:br/>
        <w:t xml:space="preserve">Technical-administrative Staff Office </w:t>
      </w:r>
      <w:r w:rsidRPr="00B76447">
        <w:rPr>
          <w:rFonts w:ascii="ArialMT" w:hAnsi="ArialMT"/>
          <w:sz w:val="20"/>
          <w:szCs w:val="20"/>
          <w:lang w:val="en-US"/>
        </w:rPr>
        <w:br/>
      </w:r>
      <w:r w:rsidR="00187F1D" w:rsidRPr="00235668">
        <w:rPr>
          <w:rFonts w:ascii="ArialMT" w:hAnsi="ArialMT"/>
          <w:sz w:val="20"/>
          <w:szCs w:val="20"/>
          <w:lang w:val="en-US"/>
        </w:rPr>
        <w:t>TAB and CEL Personnel Competition Sector</w:t>
      </w:r>
      <w:bookmarkStart w:id="0" w:name="_GoBack"/>
      <w:bookmarkEnd w:id="0"/>
    </w:p>
    <w:p w:rsidR="00B76447" w:rsidRPr="00B76447" w:rsidRDefault="00B76447" w:rsidP="00B76447">
      <w:pPr>
        <w:pStyle w:val="NormaleWeb"/>
        <w:rPr>
          <w:rFonts w:ascii="Arial" w:hAnsi="Arial" w:cs="Arial"/>
          <w:b/>
          <w:bCs/>
          <w:sz w:val="28"/>
          <w:szCs w:val="28"/>
          <w:lang w:val="en-US"/>
        </w:rPr>
      </w:pPr>
      <w:r w:rsidRPr="00B76447">
        <w:rPr>
          <w:rFonts w:ascii="Arial" w:hAnsi="Arial" w:cs="Arial"/>
          <w:b/>
          <w:bCs/>
          <w:sz w:val="28"/>
          <w:szCs w:val="28"/>
          <w:lang w:val="en-US"/>
        </w:rPr>
        <w:t>R</w:t>
      </w:r>
      <w:r>
        <w:rPr>
          <w:rFonts w:ascii="Arial" w:hAnsi="Arial" w:cs="Arial"/>
          <w:b/>
          <w:bCs/>
          <w:sz w:val="28"/>
          <w:szCs w:val="28"/>
          <w:lang w:val="en-US"/>
        </w:rPr>
        <w:t xml:space="preserve">EGULATION </w:t>
      </w:r>
      <w:r w:rsidRPr="00B76447">
        <w:rPr>
          <w:rFonts w:ascii="Arial" w:hAnsi="Arial" w:cs="Arial"/>
          <w:b/>
          <w:bCs/>
          <w:sz w:val="28"/>
          <w:szCs w:val="28"/>
          <w:lang w:val="en-US"/>
        </w:rPr>
        <w:t>FOR THE RECRUITMENT OF TECHNOLOGIES WITH A DETAILED TIME CONTRACT</w:t>
      </w:r>
    </w:p>
    <w:p w:rsidR="00B76447" w:rsidRPr="00542013" w:rsidRDefault="00542013" w:rsidP="00542013">
      <w:pPr>
        <w:pStyle w:val="NormaleWeb"/>
        <w:rPr>
          <w:rFonts w:ascii="ArialMT" w:hAnsi="ArialMT"/>
          <w:sz w:val="22"/>
          <w:szCs w:val="22"/>
          <w:lang w:val="en-US"/>
        </w:rPr>
      </w:pPr>
      <w:r w:rsidRPr="00542013">
        <w:rPr>
          <w:rFonts w:ascii="ArialMT" w:hAnsi="ArialMT"/>
          <w:sz w:val="22"/>
          <w:szCs w:val="22"/>
          <w:lang w:val="en-US"/>
        </w:rPr>
        <w:t xml:space="preserve">Approved by the Board of Directors with resolution 7 May 2013, n. 86/19 Provision no. 1987 - </w:t>
      </w:r>
      <w:proofErr w:type="spellStart"/>
      <w:r w:rsidRPr="00542013">
        <w:rPr>
          <w:rFonts w:ascii="ArialMT" w:hAnsi="ArialMT"/>
          <w:sz w:val="22"/>
          <w:szCs w:val="22"/>
          <w:lang w:val="en-US"/>
        </w:rPr>
        <w:t>prot.</w:t>
      </w:r>
      <w:proofErr w:type="spellEnd"/>
      <w:r w:rsidRPr="00542013">
        <w:rPr>
          <w:rFonts w:ascii="ArialMT" w:hAnsi="ArialMT"/>
          <w:sz w:val="22"/>
          <w:szCs w:val="22"/>
          <w:lang w:val="en-US"/>
        </w:rPr>
        <w:t xml:space="preserve"> n. 0029067 of 15/05/2013</w:t>
      </w:r>
      <w:r>
        <w:rPr>
          <w:rFonts w:ascii="ArialMT" w:hAnsi="ArialMT"/>
          <w:sz w:val="22"/>
          <w:szCs w:val="22"/>
          <w:lang w:val="en-US"/>
        </w:rPr>
        <w:t xml:space="preserve"> </w:t>
      </w:r>
      <w:r w:rsidRPr="00542013">
        <w:rPr>
          <w:rFonts w:ascii="ArialMT" w:hAnsi="ArialMT"/>
          <w:sz w:val="22"/>
          <w:szCs w:val="22"/>
          <w:lang w:val="en-US"/>
        </w:rPr>
        <w:t>as amended by resolution of 25 October 2016, no. 334/2016, of the Board of Directors</w:t>
      </w:r>
    </w:p>
    <w:p w:rsidR="00B76447" w:rsidRPr="00542013" w:rsidRDefault="00B76447" w:rsidP="00B76447">
      <w:pPr>
        <w:pStyle w:val="NormaleWeb"/>
        <w:rPr>
          <w:lang w:val="en-US"/>
        </w:rPr>
      </w:pPr>
      <w:r w:rsidRPr="00542013">
        <w:rPr>
          <w:rFonts w:ascii="Arial" w:hAnsi="Arial" w:cs="Arial"/>
          <w:b/>
          <w:bCs/>
          <w:sz w:val="20"/>
          <w:szCs w:val="20"/>
          <w:lang w:val="en-US"/>
        </w:rPr>
        <w:t>Ind</w:t>
      </w:r>
      <w:r w:rsidR="00542013" w:rsidRPr="00542013">
        <w:rPr>
          <w:rFonts w:ascii="Arial" w:hAnsi="Arial" w:cs="Arial"/>
          <w:b/>
          <w:bCs/>
          <w:sz w:val="20"/>
          <w:szCs w:val="20"/>
          <w:lang w:val="en-US"/>
        </w:rPr>
        <w:t>ex</w:t>
      </w:r>
      <w:r w:rsidRPr="00542013">
        <w:rPr>
          <w:rFonts w:ascii="Arial" w:hAnsi="Arial" w:cs="Arial"/>
          <w:b/>
          <w:bCs/>
          <w:sz w:val="20"/>
          <w:szCs w:val="20"/>
          <w:lang w:val="en-US"/>
        </w:rPr>
        <w:t xml:space="preserve"> </w:t>
      </w:r>
    </w:p>
    <w:p w:rsidR="00B76447" w:rsidRPr="00542013" w:rsidRDefault="00B76447" w:rsidP="00B76447">
      <w:pPr>
        <w:pStyle w:val="NormaleWeb"/>
        <w:rPr>
          <w:lang w:val="en-US"/>
        </w:rPr>
      </w:pPr>
      <w:r w:rsidRPr="00542013">
        <w:rPr>
          <w:rFonts w:ascii="Arial" w:hAnsi="Arial" w:cs="Arial"/>
          <w:b/>
          <w:bCs/>
          <w:sz w:val="20"/>
          <w:szCs w:val="20"/>
          <w:lang w:val="en-US"/>
        </w:rPr>
        <w:t xml:space="preserve">Art. 1 - </w:t>
      </w:r>
      <w:r w:rsidR="00542013" w:rsidRPr="00542013">
        <w:rPr>
          <w:rFonts w:ascii="Arial" w:hAnsi="Arial" w:cs="Arial"/>
          <w:b/>
          <w:bCs/>
          <w:sz w:val="20"/>
          <w:szCs w:val="20"/>
          <w:lang w:val="en-US"/>
        </w:rPr>
        <w:t xml:space="preserve">Purpose, scope of application 3 Art. 2 - Activation of the procedure 3 Art. 3 - Activities pertaining to the technologist 3 Art. 4 </w:t>
      </w:r>
      <w:r w:rsidR="00542013">
        <w:rPr>
          <w:rFonts w:ascii="Arial" w:hAnsi="Arial" w:cs="Arial"/>
          <w:b/>
          <w:bCs/>
          <w:sz w:val="20"/>
          <w:szCs w:val="20"/>
          <w:lang w:val="en-US"/>
        </w:rPr>
        <w:t>–</w:t>
      </w:r>
      <w:r w:rsidR="00542013" w:rsidRPr="00542013">
        <w:rPr>
          <w:rFonts w:ascii="Arial" w:hAnsi="Arial" w:cs="Arial"/>
          <w:b/>
          <w:bCs/>
          <w:sz w:val="20"/>
          <w:szCs w:val="20"/>
          <w:lang w:val="en-US"/>
        </w:rPr>
        <w:t xml:space="preserve"> Call</w:t>
      </w:r>
      <w:r w:rsidR="00542013">
        <w:rPr>
          <w:rFonts w:ascii="Arial" w:hAnsi="Arial" w:cs="Arial"/>
          <w:b/>
          <w:bCs/>
          <w:sz w:val="20"/>
          <w:szCs w:val="20"/>
          <w:lang w:val="en-US"/>
        </w:rPr>
        <w:t xml:space="preserve"> </w:t>
      </w:r>
      <w:r w:rsidR="00542013" w:rsidRPr="00542013">
        <w:rPr>
          <w:rFonts w:ascii="Arial" w:hAnsi="Arial" w:cs="Arial"/>
          <w:b/>
          <w:bCs/>
          <w:sz w:val="20"/>
          <w:szCs w:val="20"/>
          <w:lang w:val="en-US"/>
        </w:rPr>
        <w:t>3</w:t>
      </w:r>
    </w:p>
    <w:p w:rsidR="00B76447" w:rsidRPr="00542013" w:rsidRDefault="00B76447" w:rsidP="00B76447">
      <w:pPr>
        <w:pStyle w:val="NormaleWeb"/>
        <w:rPr>
          <w:lang w:val="en-US"/>
        </w:rPr>
      </w:pPr>
      <w:r w:rsidRPr="00542013">
        <w:rPr>
          <w:rFonts w:ascii="Arial" w:hAnsi="Arial" w:cs="Arial"/>
          <w:b/>
          <w:bCs/>
          <w:sz w:val="20"/>
          <w:szCs w:val="20"/>
          <w:lang w:val="en-US"/>
        </w:rPr>
        <w:t xml:space="preserve">Art. 5 - </w:t>
      </w:r>
      <w:r w:rsidR="00542013" w:rsidRPr="00542013">
        <w:rPr>
          <w:rFonts w:ascii="Arial" w:hAnsi="Arial" w:cs="Arial"/>
          <w:b/>
          <w:bCs/>
          <w:sz w:val="20"/>
          <w:szCs w:val="20"/>
          <w:lang w:val="en-US"/>
        </w:rPr>
        <w:t>Requirements and qualifications 4</w:t>
      </w:r>
    </w:p>
    <w:p w:rsidR="00B76447" w:rsidRPr="00542013" w:rsidRDefault="00B76447" w:rsidP="00B76447">
      <w:pPr>
        <w:pStyle w:val="NormaleWeb"/>
        <w:rPr>
          <w:lang w:val="en-US"/>
        </w:rPr>
      </w:pPr>
      <w:r w:rsidRPr="00542013">
        <w:rPr>
          <w:rFonts w:ascii="Arial" w:hAnsi="Arial" w:cs="Arial"/>
          <w:b/>
          <w:bCs/>
          <w:sz w:val="20"/>
          <w:szCs w:val="20"/>
          <w:lang w:val="en-US"/>
        </w:rPr>
        <w:t xml:space="preserve">Art. 6 - </w:t>
      </w:r>
      <w:r w:rsidR="00542013" w:rsidRPr="00542013">
        <w:rPr>
          <w:rFonts w:ascii="Arial" w:hAnsi="Arial" w:cs="Arial"/>
          <w:b/>
          <w:bCs/>
          <w:sz w:val="20"/>
          <w:szCs w:val="20"/>
          <w:lang w:val="en-US"/>
        </w:rPr>
        <w:t>Competition fee 4 Art. 7 - Competition tests 4 Art. 8 - Assessable qualifications 4 Art. 9 - Admissions Committee 5 Art. 10 - Conclusions of works 5 Art. 11 - Stipulation of the contract 5 Art. 12 - Incompatibility 6 Art. 13 - Person in charge of the procedure and processing of personal data 6 Art. 14 - Final provisions 6</w:t>
      </w:r>
    </w:p>
    <w:p w:rsidR="00B76447" w:rsidRPr="00542013" w:rsidRDefault="00B76447" w:rsidP="00B76447">
      <w:pPr>
        <w:pStyle w:val="NormaleWeb"/>
        <w:rPr>
          <w:lang w:val="en-US"/>
        </w:rPr>
      </w:pPr>
      <w:r w:rsidRPr="00542013">
        <w:rPr>
          <w:rFonts w:ascii="ArialMT" w:hAnsi="ArialMT"/>
          <w:sz w:val="20"/>
          <w:szCs w:val="20"/>
          <w:lang w:val="en-US"/>
        </w:rPr>
        <w:t>Pag</w:t>
      </w:r>
      <w:r w:rsidR="00542013" w:rsidRPr="00542013">
        <w:rPr>
          <w:rFonts w:ascii="ArialMT" w:hAnsi="ArialMT"/>
          <w:sz w:val="20"/>
          <w:szCs w:val="20"/>
          <w:lang w:val="en-US"/>
        </w:rPr>
        <w:t>e</w:t>
      </w:r>
      <w:r w:rsidRPr="00542013">
        <w:rPr>
          <w:rFonts w:ascii="ArialMT" w:hAnsi="ArialMT"/>
          <w:sz w:val="20"/>
          <w:szCs w:val="20"/>
          <w:lang w:val="en-US"/>
        </w:rPr>
        <w:t xml:space="preserve"> 2 </w:t>
      </w:r>
    </w:p>
    <w:p w:rsidR="00B76447" w:rsidRPr="00542013" w:rsidRDefault="00B76447" w:rsidP="00B76447">
      <w:pPr>
        <w:pStyle w:val="NormaleWeb"/>
        <w:rPr>
          <w:lang w:val="en-US"/>
        </w:rPr>
      </w:pPr>
      <w:r w:rsidRPr="00542013">
        <w:rPr>
          <w:rFonts w:ascii="Arial" w:hAnsi="Arial" w:cs="Arial"/>
          <w:b/>
          <w:bCs/>
          <w:sz w:val="20"/>
          <w:szCs w:val="20"/>
          <w:lang w:val="en-US"/>
        </w:rPr>
        <w:t xml:space="preserve">Art. 1- </w:t>
      </w:r>
      <w:r w:rsidR="00542013" w:rsidRPr="00542013">
        <w:rPr>
          <w:rFonts w:ascii="Arial" w:hAnsi="Arial" w:cs="Arial"/>
          <w:b/>
          <w:bCs/>
          <w:sz w:val="20"/>
          <w:szCs w:val="20"/>
          <w:lang w:val="en-US"/>
        </w:rPr>
        <w:t>Purpose, scope of application</w:t>
      </w:r>
    </w:p>
    <w:p w:rsidR="0050411D" w:rsidRPr="0050411D" w:rsidRDefault="0050411D" w:rsidP="00B76447">
      <w:pPr>
        <w:pStyle w:val="NormaleWeb"/>
        <w:rPr>
          <w:rFonts w:ascii="ArialMT" w:hAnsi="ArialMT"/>
          <w:sz w:val="20"/>
          <w:szCs w:val="20"/>
          <w:lang w:val="en-US"/>
        </w:rPr>
      </w:pPr>
      <w:r w:rsidRPr="0050411D">
        <w:rPr>
          <w:rFonts w:ascii="ArialMT" w:hAnsi="ArialMT"/>
          <w:sz w:val="20"/>
          <w:szCs w:val="20"/>
          <w:lang w:val="en-US"/>
        </w:rPr>
        <w:t xml:space="preserve">In compliance with the provisions of art. 24 </w:t>
      </w:r>
      <w:proofErr w:type="spellStart"/>
      <w:r w:rsidRPr="0050411D">
        <w:rPr>
          <w:rFonts w:ascii="ArialMT" w:hAnsi="ArialMT"/>
          <w:sz w:val="20"/>
          <w:szCs w:val="20"/>
          <w:lang w:val="en-US"/>
        </w:rPr>
        <w:t>bis</w:t>
      </w:r>
      <w:proofErr w:type="spellEnd"/>
      <w:r w:rsidRPr="0050411D">
        <w:rPr>
          <w:rFonts w:ascii="ArialMT" w:hAnsi="ArialMT"/>
          <w:sz w:val="20"/>
          <w:szCs w:val="20"/>
          <w:lang w:val="en-US"/>
        </w:rPr>
        <w:t xml:space="preserve"> of the law n. 240 of 30.12.2010 these Regulations govern the procedures for accessing the status of Technologist.</w:t>
      </w:r>
    </w:p>
    <w:p w:rsidR="00B76447" w:rsidRPr="0082666E" w:rsidRDefault="00B76447" w:rsidP="00B76447">
      <w:pPr>
        <w:pStyle w:val="NormaleWeb"/>
        <w:rPr>
          <w:lang w:val="en-US"/>
        </w:rPr>
      </w:pPr>
      <w:r w:rsidRPr="0082666E">
        <w:rPr>
          <w:rFonts w:ascii="Arial" w:hAnsi="Arial" w:cs="Arial"/>
          <w:b/>
          <w:bCs/>
          <w:sz w:val="20"/>
          <w:szCs w:val="20"/>
          <w:lang w:val="en-US"/>
        </w:rPr>
        <w:t xml:space="preserve">Art. 2- </w:t>
      </w:r>
      <w:r w:rsidR="0050411D" w:rsidRPr="0082666E">
        <w:rPr>
          <w:rFonts w:ascii="Arial" w:hAnsi="Arial" w:cs="Arial"/>
          <w:b/>
          <w:bCs/>
          <w:sz w:val="20"/>
          <w:szCs w:val="20"/>
          <w:lang w:val="en-US"/>
        </w:rPr>
        <w:t>Procedure A</w:t>
      </w:r>
      <w:r w:rsidR="0082666E" w:rsidRPr="0082666E">
        <w:rPr>
          <w:rFonts w:ascii="Arial" w:hAnsi="Arial" w:cs="Arial"/>
          <w:b/>
          <w:bCs/>
          <w:sz w:val="20"/>
          <w:szCs w:val="20"/>
          <w:lang w:val="en-US"/>
        </w:rPr>
        <w:t>c</w:t>
      </w:r>
      <w:r w:rsidR="0050411D" w:rsidRPr="0082666E">
        <w:rPr>
          <w:rFonts w:ascii="Arial" w:hAnsi="Arial" w:cs="Arial"/>
          <w:b/>
          <w:bCs/>
          <w:sz w:val="20"/>
          <w:szCs w:val="20"/>
          <w:lang w:val="en-US"/>
        </w:rPr>
        <w:t xml:space="preserve">tivation </w:t>
      </w:r>
      <w:r w:rsidRPr="0082666E">
        <w:rPr>
          <w:rFonts w:ascii="Arial" w:hAnsi="Arial" w:cs="Arial"/>
          <w:b/>
          <w:bCs/>
          <w:sz w:val="20"/>
          <w:szCs w:val="20"/>
          <w:lang w:val="en-US"/>
        </w:rPr>
        <w:t xml:space="preserve"> </w:t>
      </w:r>
    </w:p>
    <w:p w:rsidR="0082666E" w:rsidRPr="0082666E" w:rsidRDefault="0082666E" w:rsidP="00B76447">
      <w:pPr>
        <w:pStyle w:val="NormaleWeb"/>
        <w:rPr>
          <w:rFonts w:ascii="ArialMT" w:hAnsi="ArialMT"/>
          <w:sz w:val="20"/>
          <w:szCs w:val="20"/>
          <w:lang w:val="en-US"/>
        </w:rPr>
      </w:pPr>
      <w:r w:rsidRPr="0082666E">
        <w:rPr>
          <w:rFonts w:ascii="ArialMT" w:hAnsi="ArialMT"/>
          <w:sz w:val="20"/>
          <w:szCs w:val="20"/>
          <w:lang w:val="en-US"/>
        </w:rPr>
        <w:t>The Departments may request that the recruitment of fixed-term technologists is included in the annual and three-year planning. To this end it is necessary for the Department Commission to take a detailed resolution, in which the following elements are highlighted:</w:t>
      </w:r>
    </w:p>
    <w:p w:rsidR="00B76447" w:rsidRPr="0082666E" w:rsidRDefault="00B76447" w:rsidP="00B76447">
      <w:pPr>
        <w:pStyle w:val="NormaleWeb"/>
        <w:rPr>
          <w:lang w:val="en-US"/>
        </w:rPr>
      </w:pPr>
      <w:r w:rsidRPr="0082666E">
        <w:rPr>
          <w:rFonts w:ascii="ArialMT" w:hAnsi="ArialMT"/>
          <w:sz w:val="20"/>
          <w:szCs w:val="20"/>
          <w:lang w:val="en-US"/>
        </w:rPr>
        <w:br/>
        <w:t xml:space="preserve">- </w:t>
      </w:r>
      <w:r w:rsidR="0082666E" w:rsidRPr="0082666E">
        <w:rPr>
          <w:rFonts w:ascii="ArialMT" w:hAnsi="ArialMT"/>
          <w:sz w:val="20"/>
          <w:szCs w:val="20"/>
          <w:lang w:val="en-US"/>
        </w:rPr>
        <w:t>the research activity in which the technologist will conduct his work</w:t>
      </w:r>
    </w:p>
    <w:p w:rsidR="00B76447" w:rsidRPr="001D5C7B" w:rsidRDefault="00B76447" w:rsidP="00B76447">
      <w:pPr>
        <w:pStyle w:val="NormaleWeb"/>
        <w:rPr>
          <w:rFonts w:ascii="ArialMT" w:hAnsi="ArialMT"/>
          <w:sz w:val="20"/>
          <w:szCs w:val="20"/>
          <w:lang w:val="en-US"/>
        </w:rPr>
      </w:pPr>
      <w:r w:rsidRPr="001D5C7B">
        <w:rPr>
          <w:rFonts w:ascii="ArialMT" w:hAnsi="ArialMT"/>
          <w:sz w:val="20"/>
          <w:szCs w:val="20"/>
          <w:lang w:val="en-US"/>
        </w:rPr>
        <w:t xml:space="preserve">- </w:t>
      </w:r>
      <w:r w:rsidR="001D5C7B" w:rsidRPr="001D5C7B">
        <w:rPr>
          <w:rFonts w:ascii="ArialMT" w:hAnsi="ArialMT"/>
          <w:sz w:val="20"/>
          <w:szCs w:val="20"/>
          <w:lang w:val="en-US"/>
        </w:rPr>
        <w:t>the category and the economic position of reference referred to in the C.C.N.L. University Section, between Category D, economic position D3 and Category EP, economic position EP3</w:t>
      </w:r>
      <w:r w:rsidR="001D5C7B" w:rsidRPr="001D5C7B">
        <w:rPr>
          <w:rFonts w:ascii="ArialMT" w:hAnsi="ArialMT"/>
          <w:sz w:val="20"/>
          <w:szCs w:val="20"/>
          <w:lang w:val="en-US"/>
        </w:rPr>
        <w:br/>
      </w:r>
      <w:r w:rsidRPr="001D5C7B">
        <w:rPr>
          <w:rFonts w:ascii="ArialMT" w:hAnsi="ArialMT"/>
          <w:sz w:val="20"/>
          <w:szCs w:val="20"/>
          <w:lang w:val="en-US"/>
        </w:rPr>
        <w:br/>
        <w:t xml:space="preserve">- </w:t>
      </w:r>
      <w:r w:rsidR="00EB30D6" w:rsidRPr="00EB30D6">
        <w:rPr>
          <w:rFonts w:ascii="ArialMT" w:hAnsi="ArialMT"/>
          <w:sz w:val="20"/>
          <w:szCs w:val="20"/>
          <w:lang w:val="en-US"/>
        </w:rPr>
        <w:t xml:space="preserve">the duration of the contract in compliance with the provisions of paragraph 3 of the art. 24 </w:t>
      </w:r>
      <w:proofErr w:type="spellStart"/>
      <w:r w:rsidR="00EB30D6" w:rsidRPr="00EB30D6">
        <w:rPr>
          <w:rFonts w:ascii="ArialMT" w:hAnsi="ArialMT"/>
          <w:sz w:val="20"/>
          <w:szCs w:val="20"/>
          <w:lang w:val="en-US"/>
        </w:rPr>
        <w:t>bis</w:t>
      </w:r>
      <w:proofErr w:type="spellEnd"/>
      <w:r w:rsidR="00EB30D6" w:rsidRPr="00EB30D6">
        <w:rPr>
          <w:rFonts w:ascii="ArialMT" w:hAnsi="ArialMT"/>
          <w:sz w:val="20"/>
          <w:szCs w:val="20"/>
          <w:lang w:val="en-US"/>
        </w:rPr>
        <w:t xml:space="preserve"> of Law 240/2010</w:t>
      </w:r>
    </w:p>
    <w:p w:rsidR="00B76447" w:rsidRPr="00EB30D6" w:rsidRDefault="00B76447" w:rsidP="00B76447">
      <w:pPr>
        <w:pStyle w:val="NormaleWeb"/>
        <w:rPr>
          <w:lang w:val="en-US"/>
        </w:rPr>
      </w:pPr>
      <w:r w:rsidRPr="00EB30D6">
        <w:rPr>
          <w:rFonts w:ascii="ArialMT" w:hAnsi="ArialMT"/>
          <w:sz w:val="20"/>
          <w:szCs w:val="20"/>
          <w:lang w:val="en-US"/>
        </w:rPr>
        <w:t xml:space="preserve">- </w:t>
      </w:r>
      <w:r w:rsidR="00EB30D6" w:rsidRPr="00EB30D6">
        <w:rPr>
          <w:rFonts w:ascii="ArialMT" w:hAnsi="ArialMT"/>
          <w:sz w:val="20"/>
          <w:szCs w:val="20"/>
          <w:lang w:val="en-US"/>
        </w:rPr>
        <w:t>the required commitment (part time/full time)</w:t>
      </w:r>
      <w:r w:rsidR="00EB30D6" w:rsidRPr="00EB30D6">
        <w:rPr>
          <w:rFonts w:ascii="ArialMT" w:hAnsi="ArialMT"/>
          <w:sz w:val="20"/>
          <w:szCs w:val="20"/>
          <w:lang w:val="en-US"/>
        </w:rPr>
        <w:br/>
      </w:r>
      <w:r w:rsidRPr="00EB30D6">
        <w:rPr>
          <w:rFonts w:ascii="ArialMT" w:hAnsi="ArialMT"/>
          <w:sz w:val="20"/>
          <w:szCs w:val="20"/>
          <w:lang w:val="en-US"/>
        </w:rPr>
        <w:br/>
        <w:t xml:space="preserve">- </w:t>
      </w:r>
      <w:r w:rsidR="00EB30D6" w:rsidRPr="00EB30D6">
        <w:rPr>
          <w:rFonts w:ascii="ArialMT" w:hAnsi="ArialMT"/>
          <w:sz w:val="20"/>
          <w:szCs w:val="20"/>
          <w:lang w:val="en-US"/>
        </w:rPr>
        <w:t>the resources intended to guarantee the economic and financial coverage of the expenditure, including the accessory treatment.</w:t>
      </w:r>
    </w:p>
    <w:p w:rsidR="00EB30D6" w:rsidRDefault="00EB30D6" w:rsidP="00B76447">
      <w:pPr>
        <w:pStyle w:val="NormaleWeb"/>
        <w:rPr>
          <w:rFonts w:ascii="ArialMT" w:hAnsi="ArialMT"/>
          <w:sz w:val="20"/>
          <w:szCs w:val="20"/>
          <w:lang w:val="en-US"/>
        </w:rPr>
      </w:pPr>
      <w:r w:rsidRPr="00EB30D6">
        <w:rPr>
          <w:rFonts w:ascii="ArialMT" w:hAnsi="ArialMT"/>
          <w:sz w:val="20"/>
          <w:szCs w:val="20"/>
          <w:lang w:val="en-US"/>
        </w:rPr>
        <w:t>The aforementioned resolution must be sent to the Organization and Development Area within the terms communicated by the Administration for inclusion in the planning for the following years.</w:t>
      </w:r>
    </w:p>
    <w:p w:rsidR="00EB30D6" w:rsidRPr="00EB30D6" w:rsidRDefault="00EB30D6" w:rsidP="00B76447">
      <w:pPr>
        <w:pStyle w:val="NormaleWeb"/>
        <w:rPr>
          <w:rFonts w:ascii="ArialMT" w:hAnsi="ArialMT"/>
          <w:sz w:val="20"/>
          <w:szCs w:val="20"/>
          <w:lang w:val="en-US"/>
        </w:rPr>
      </w:pPr>
      <w:r w:rsidRPr="00EB30D6">
        <w:rPr>
          <w:rFonts w:ascii="ArialMT" w:hAnsi="ArialMT"/>
          <w:sz w:val="20"/>
          <w:szCs w:val="20"/>
          <w:lang w:val="en-US"/>
        </w:rPr>
        <w:lastRenderedPageBreak/>
        <w:t>In cases of particular relevance and/or urgency, the Departments concerned may request the Organization and Development Area to include in the programming of the places to be placed in the call.</w:t>
      </w:r>
    </w:p>
    <w:p w:rsidR="00B76447" w:rsidRPr="00EB30D6" w:rsidRDefault="00B76447" w:rsidP="00B76447">
      <w:pPr>
        <w:pStyle w:val="NormaleWeb"/>
        <w:rPr>
          <w:lang w:val="en-US"/>
        </w:rPr>
      </w:pPr>
      <w:r w:rsidRPr="00EB30D6">
        <w:rPr>
          <w:rFonts w:ascii="Arial" w:hAnsi="Arial" w:cs="Arial"/>
          <w:b/>
          <w:bCs/>
          <w:sz w:val="20"/>
          <w:szCs w:val="20"/>
          <w:lang w:val="en-US"/>
        </w:rPr>
        <w:t xml:space="preserve">Art. 3- </w:t>
      </w:r>
      <w:r w:rsidR="00EB30D6" w:rsidRPr="00EB30D6">
        <w:rPr>
          <w:rFonts w:ascii="Arial" w:hAnsi="Arial" w:cs="Arial"/>
          <w:b/>
          <w:bCs/>
          <w:sz w:val="20"/>
          <w:szCs w:val="20"/>
          <w:lang w:val="en-US"/>
        </w:rPr>
        <w:t>Activities of competence of the technologist</w:t>
      </w:r>
    </w:p>
    <w:p w:rsidR="00EB30D6" w:rsidRPr="00EB30D6" w:rsidRDefault="00EB30D6" w:rsidP="00B76447">
      <w:pPr>
        <w:pStyle w:val="NormaleWeb"/>
        <w:rPr>
          <w:rFonts w:ascii="ArialMT" w:hAnsi="ArialMT"/>
          <w:sz w:val="20"/>
          <w:szCs w:val="20"/>
          <w:lang w:val="en-US"/>
        </w:rPr>
      </w:pPr>
      <w:r w:rsidRPr="00EB30D6">
        <w:rPr>
          <w:rFonts w:ascii="ArialMT" w:hAnsi="ArialMT"/>
          <w:sz w:val="20"/>
          <w:szCs w:val="20"/>
          <w:lang w:val="en-US"/>
        </w:rPr>
        <w:t>The technologist conducts activities related to technical and administrative support for the research activities of the university structures. In agreement with the research project manager he can undertake research and studies and participate in experimental activities contributing to the development of new technologies. It can also conduct support activities for students in the laboratories of university facilities.</w:t>
      </w:r>
    </w:p>
    <w:p w:rsidR="00B76447" w:rsidRPr="00282EC9" w:rsidRDefault="00B76447" w:rsidP="00B76447">
      <w:pPr>
        <w:pStyle w:val="NormaleWeb"/>
        <w:rPr>
          <w:lang w:val="en-US"/>
        </w:rPr>
      </w:pPr>
      <w:r w:rsidRPr="00282EC9">
        <w:rPr>
          <w:rFonts w:ascii="Arial" w:hAnsi="Arial" w:cs="Arial"/>
          <w:b/>
          <w:bCs/>
          <w:sz w:val="20"/>
          <w:szCs w:val="20"/>
          <w:lang w:val="en-US"/>
        </w:rPr>
        <w:t xml:space="preserve">Art. 4- </w:t>
      </w:r>
      <w:r w:rsidR="00EB30D6" w:rsidRPr="00282EC9">
        <w:rPr>
          <w:rFonts w:ascii="Arial" w:hAnsi="Arial" w:cs="Arial"/>
          <w:b/>
          <w:bCs/>
          <w:sz w:val="20"/>
          <w:szCs w:val="20"/>
          <w:lang w:val="en-US"/>
        </w:rPr>
        <w:t>Call</w:t>
      </w:r>
      <w:r w:rsidRPr="00282EC9">
        <w:rPr>
          <w:rFonts w:ascii="Arial" w:hAnsi="Arial" w:cs="Arial"/>
          <w:b/>
          <w:bCs/>
          <w:sz w:val="20"/>
          <w:szCs w:val="20"/>
          <w:lang w:val="en-US"/>
        </w:rPr>
        <w:t xml:space="preserve"> </w:t>
      </w:r>
    </w:p>
    <w:p w:rsidR="00282EC9" w:rsidRPr="00282EC9" w:rsidRDefault="00282EC9" w:rsidP="00282EC9">
      <w:pPr>
        <w:pStyle w:val="NormaleWeb"/>
        <w:ind w:left="360"/>
        <w:rPr>
          <w:rFonts w:ascii="ArialMT" w:hAnsi="ArialMT"/>
          <w:sz w:val="20"/>
          <w:szCs w:val="20"/>
          <w:lang w:val="en-US"/>
        </w:rPr>
      </w:pPr>
      <w:r w:rsidRPr="00282EC9">
        <w:rPr>
          <w:rFonts w:ascii="ArialMT" w:hAnsi="ArialMT"/>
          <w:sz w:val="20"/>
          <w:szCs w:val="20"/>
          <w:lang w:val="en-US"/>
        </w:rPr>
        <w:t xml:space="preserve">After the approval of the programming pursuant to art. 2 and the related budget that guarantees the economic-financial coverage, the Director of the Department </w:t>
      </w:r>
      <w:r>
        <w:rPr>
          <w:rFonts w:ascii="ArialMT" w:hAnsi="ArialMT"/>
          <w:sz w:val="20"/>
          <w:szCs w:val="20"/>
          <w:lang w:val="en-US"/>
        </w:rPr>
        <w:t>may</w:t>
      </w:r>
      <w:r w:rsidRPr="00282EC9">
        <w:rPr>
          <w:rFonts w:ascii="ArialMT" w:hAnsi="ArialMT"/>
          <w:sz w:val="20"/>
          <w:szCs w:val="20"/>
          <w:lang w:val="en-US"/>
        </w:rPr>
        <w:t xml:space="preserve"> propose to the Human Resources Area </w:t>
      </w:r>
      <w:r>
        <w:rPr>
          <w:rFonts w:ascii="ArialMT" w:hAnsi="ArialMT"/>
          <w:sz w:val="20"/>
          <w:szCs w:val="20"/>
          <w:lang w:val="en-US"/>
        </w:rPr>
        <w:t xml:space="preserve">to begin the procedures to </w:t>
      </w:r>
      <w:proofErr w:type="spellStart"/>
      <w:r>
        <w:rPr>
          <w:rFonts w:ascii="ArialMT" w:hAnsi="ArialMT"/>
          <w:sz w:val="20"/>
          <w:szCs w:val="20"/>
          <w:lang w:val="en-US"/>
        </w:rPr>
        <w:t>develope</w:t>
      </w:r>
      <w:proofErr w:type="spellEnd"/>
      <w:r w:rsidRPr="00282EC9">
        <w:rPr>
          <w:rFonts w:ascii="ArialMT" w:hAnsi="ArialMT"/>
          <w:sz w:val="20"/>
          <w:szCs w:val="20"/>
          <w:lang w:val="en-US"/>
        </w:rPr>
        <w:t xml:space="preserve"> selection procedure.</w:t>
      </w:r>
    </w:p>
    <w:p w:rsidR="00282EC9" w:rsidRPr="009B33E6" w:rsidRDefault="00282EC9" w:rsidP="00282EC9">
      <w:pPr>
        <w:pStyle w:val="NormaleWeb"/>
        <w:ind w:left="360"/>
        <w:rPr>
          <w:lang w:val="en-US"/>
        </w:rPr>
      </w:pPr>
      <w:r w:rsidRPr="009B33E6">
        <w:rPr>
          <w:rFonts w:ascii="ArialMT" w:hAnsi="ArialMT"/>
          <w:sz w:val="20"/>
          <w:szCs w:val="20"/>
          <w:lang w:val="en-US"/>
        </w:rPr>
        <w:t>The Call must contain:</w:t>
      </w:r>
    </w:p>
    <w:p w:rsidR="00577AAA" w:rsidRPr="00577AAA" w:rsidRDefault="00577AAA" w:rsidP="009B33E6">
      <w:pPr>
        <w:pStyle w:val="NormaleWeb"/>
        <w:numPr>
          <w:ilvl w:val="0"/>
          <w:numId w:val="5"/>
        </w:numPr>
        <w:rPr>
          <w:rFonts w:ascii="ArialMT" w:hAnsi="ArialMT"/>
          <w:sz w:val="20"/>
          <w:szCs w:val="20"/>
          <w:lang w:val="en-US"/>
        </w:rPr>
      </w:pPr>
      <w:r w:rsidRPr="00577AAA">
        <w:rPr>
          <w:rFonts w:ascii="ArialMT" w:hAnsi="ArialMT"/>
          <w:sz w:val="20"/>
          <w:szCs w:val="20"/>
          <w:lang w:val="en-US"/>
        </w:rPr>
        <w:t xml:space="preserve">the description of the research </w:t>
      </w:r>
      <w:proofErr w:type="spellStart"/>
      <w:r w:rsidRPr="00577AAA">
        <w:rPr>
          <w:rFonts w:ascii="ArialMT" w:hAnsi="ArialMT"/>
          <w:sz w:val="20"/>
          <w:szCs w:val="20"/>
          <w:lang w:val="en-US"/>
        </w:rPr>
        <w:t>programme</w:t>
      </w:r>
      <w:proofErr w:type="spellEnd"/>
      <w:r w:rsidRPr="00577AAA">
        <w:rPr>
          <w:rFonts w:ascii="ArialMT" w:hAnsi="ArialMT"/>
          <w:sz w:val="20"/>
          <w:szCs w:val="20"/>
          <w:lang w:val="en-US"/>
        </w:rPr>
        <w:t xml:space="preserve"> within which the technologist will provide the activity;</w:t>
      </w:r>
    </w:p>
    <w:p w:rsidR="00B76447" w:rsidRPr="00264D44" w:rsidRDefault="00577AAA" w:rsidP="009B33E6">
      <w:pPr>
        <w:pStyle w:val="NormaleWeb"/>
        <w:numPr>
          <w:ilvl w:val="0"/>
          <w:numId w:val="5"/>
        </w:numPr>
        <w:rPr>
          <w:rFonts w:ascii="ArialMT" w:hAnsi="ArialMT"/>
          <w:sz w:val="20"/>
          <w:szCs w:val="20"/>
          <w:lang w:val="en-US"/>
        </w:rPr>
      </w:pPr>
      <w:r w:rsidRPr="00577AAA">
        <w:rPr>
          <w:rFonts w:ascii="ArialMT" w:hAnsi="ArialMT"/>
          <w:sz w:val="20"/>
          <w:szCs w:val="20"/>
          <w:lang w:val="en-US"/>
        </w:rPr>
        <w:t>the number of places available and the classification with reference to the categories and economic positions</w:t>
      </w:r>
      <w:r w:rsidR="00264D44">
        <w:rPr>
          <w:rFonts w:ascii="ArialMT" w:hAnsi="ArialMT"/>
          <w:sz w:val="20"/>
          <w:szCs w:val="20"/>
          <w:lang w:val="en-US"/>
        </w:rPr>
        <w:t xml:space="preserve"> </w:t>
      </w:r>
      <w:r w:rsidR="00264D44" w:rsidRPr="00264D44">
        <w:rPr>
          <w:rFonts w:ascii="ArialMT" w:hAnsi="ArialMT"/>
          <w:sz w:val="20"/>
          <w:szCs w:val="20"/>
          <w:lang w:val="en-US"/>
        </w:rPr>
        <w:t>referred to in the C.C.N.L. University Section;</w:t>
      </w:r>
    </w:p>
    <w:p w:rsidR="00C647E2" w:rsidRPr="00C647E2" w:rsidRDefault="00C647E2" w:rsidP="00C647E2">
      <w:pPr>
        <w:pStyle w:val="NormaleWeb"/>
        <w:numPr>
          <w:ilvl w:val="0"/>
          <w:numId w:val="1"/>
        </w:numPr>
        <w:rPr>
          <w:rFonts w:ascii="ArialMT" w:hAnsi="ArialMT"/>
          <w:sz w:val="20"/>
          <w:szCs w:val="20"/>
          <w:lang w:val="en-US"/>
        </w:rPr>
      </w:pPr>
      <w:r w:rsidRPr="00C647E2">
        <w:rPr>
          <w:rFonts w:ascii="ArialMT" w:hAnsi="ArialMT"/>
          <w:sz w:val="20"/>
          <w:szCs w:val="20"/>
          <w:lang w:val="en-US"/>
        </w:rPr>
        <w:t>the duration of the employment contract and the economic treatment;</w:t>
      </w:r>
    </w:p>
    <w:p w:rsidR="00C647E2" w:rsidRPr="00C647E2" w:rsidRDefault="00C647E2" w:rsidP="00C647E2">
      <w:pPr>
        <w:pStyle w:val="NormaleWeb"/>
        <w:numPr>
          <w:ilvl w:val="0"/>
          <w:numId w:val="1"/>
        </w:numPr>
        <w:rPr>
          <w:rFonts w:ascii="ArialMT" w:hAnsi="ArialMT"/>
          <w:sz w:val="20"/>
          <w:szCs w:val="20"/>
          <w:lang w:val="en-US"/>
        </w:rPr>
      </w:pPr>
      <w:r w:rsidRPr="00C647E2">
        <w:rPr>
          <w:rFonts w:ascii="ArialMT" w:hAnsi="ArialMT"/>
          <w:sz w:val="20"/>
          <w:szCs w:val="20"/>
          <w:lang w:val="en-US"/>
        </w:rPr>
        <w:t>the requirements and qualifications for the selection;</w:t>
      </w:r>
    </w:p>
    <w:p w:rsidR="00C647E2" w:rsidRPr="00C647E2" w:rsidRDefault="00C647E2" w:rsidP="00C647E2">
      <w:pPr>
        <w:pStyle w:val="NormaleWeb"/>
        <w:numPr>
          <w:ilvl w:val="0"/>
          <w:numId w:val="1"/>
        </w:numPr>
        <w:rPr>
          <w:rFonts w:ascii="ArialMT" w:hAnsi="ArialMT"/>
          <w:sz w:val="20"/>
          <w:szCs w:val="20"/>
          <w:lang w:val="en-US"/>
        </w:rPr>
      </w:pPr>
      <w:r w:rsidRPr="00C647E2">
        <w:rPr>
          <w:rFonts w:ascii="ArialMT" w:hAnsi="ArialMT"/>
          <w:sz w:val="20"/>
          <w:szCs w:val="20"/>
          <w:lang w:val="en-US"/>
        </w:rPr>
        <w:t>the request to send a curriculum vitae;</w:t>
      </w:r>
    </w:p>
    <w:p w:rsidR="00C647E2" w:rsidRPr="00C647E2" w:rsidRDefault="00C647E2" w:rsidP="00C647E2">
      <w:pPr>
        <w:pStyle w:val="NormaleWeb"/>
        <w:numPr>
          <w:ilvl w:val="0"/>
          <w:numId w:val="1"/>
        </w:numPr>
        <w:rPr>
          <w:lang w:val="en-US"/>
        </w:rPr>
      </w:pPr>
      <w:r w:rsidRPr="00C647E2">
        <w:rPr>
          <w:rFonts w:ascii="ArialMT" w:hAnsi="ArialMT"/>
          <w:sz w:val="20"/>
          <w:szCs w:val="20"/>
          <w:lang w:val="en-US"/>
        </w:rPr>
        <w:t>the terms for submitting applications to participate and the documents the candidates hav</w:t>
      </w:r>
      <w:r>
        <w:rPr>
          <w:rFonts w:ascii="ArialMT" w:hAnsi="ArialMT"/>
          <w:sz w:val="20"/>
          <w:szCs w:val="20"/>
          <w:lang w:val="en-US"/>
        </w:rPr>
        <w:t>e to submit</w:t>
      </w:r>
      <w:r w:rsidRPr="00C647E2">
        <w:rPr>
          <w:rFonts w:ascii="ArialMT" w:hAnsi="ArialMT"/>
          <w:sz w:val="20"/>
          <w:szCs w:val="20"/>
          <w:lang w:val="en-US"/>
        </w:rPr>
        <w:t>;</w:t>
      </w:r>
    </w:p>
    <w:p w:rsidR="00B76447" w:rsidRPr="009B33E6" w:rsidRDefault="009B33E6" w:rsidP="00C647E2">
      <w:pPr>
        <w:pStyle w:val="NormaleWeb"/>
        <w:numPr>
          <w:ilvl w:val="0"/>
          <w:numId w:val="1"/>
        </w:numPr>
        <w:rPr>
          <w:lang w:val="en-US"/>
        </w:rPr>
      </w:pPr>
      <w:r w:rsidRPr="009B33E6">
        <w:rPr>
          <w:rFonts w:ascii="ArialMT" w:hAnsi="ArialMT"/>
          <w:sz w:val="20"/>
          <w:szCs w:val="20"/>
          <w:lang w:val="en-US"/>
        </w:rPr>
        <w:t xml:space="preserve">the methods of the examination tests, </w:t>
      </w:r>
      <w:r w:rsidR="007D7119">
        <w:rPr>
          <w:rFonts w:ascii="ArialMT" w:hAnsi="ArialMT"/>
          <w:sz w:val="20"/>
          <w:szCs w:val="20"/>
          <w:lang w:val="en-US"/>
        </w:rPr>
        <w:t xml:space="preserve">as stated </w:t>
      </w:r>
      <w:r w:rsidRPr="009B33E6">
        <w:rPr>
          <w:rFonts w:ascii="ArialMT" w:hAnsi="ArialMT"/>
          <w:sz w:val="20"/>
          <w:szCs w:val="20"/>
          <w:lang w:val="en-US"/>
        </w:rPr>
        <w:t>in the following art. 8 of this Regulation as well as the maximum score attributable to each test</w:t>
      </w:r>
      <w:r w:rsidR="00B76447" w:rsidRPr="009B33E6">
        <w:rPr>
          <w:rFonts w:ascii="ArialMT" w:hAnsi="ArialMT"/>
          <w:sz w:val="20"/>
          <w:szCs w:val="20"/>
          <w:lang w:val="en-US"/>
        </w:rPr>
        <w:t xml:space="preserve">; </w:t>
      </w:r>
    </w:p>
    <w:p w:rsidR="007D7119" w:rsidRPr="00B559A8" w:rsidRDefault="007D7119" w:rsidP="007D7119">
      <w:pPr>
        <w:pStyle w:val="NormaleWeb"/>
        <w:numPr>
          <w:ilvl w:val="0"/>
          <w:numId w:val="1"/>
        </w:numPr>
        <w:rPr>
          <w:lang w:val="en-US"/>
        </w:rPr>
      </w:pPr>
      <w:r w:rsidRPr="00B559A8">
        <w:rPr>
          <w:rFonts w:ascii="ArialMT" w:hAnsi="ArialMT"/>
          <w:sz w:val="20"/>
          <w:szCs w:val="20"/>
          <w:lang w:val="en-US"/>
        </w:rPr>
        <w:t xml:space="preserve">the minimum mark required to pass each test; </w:t>
      </w:r>
    </w:p>
    <w:p w:rsidR="00B76447" w:rsidRPr="007D7119" w:rsidRDefault="007D7119" w:rsidP="007D7119">
      <w:pPr>
        <w:pStyle w:val="NormaleWeb"/>
        <w:numPr>
          <w:ilvl w:val="0"/>
          <w:numId w:val="1"/>
        </w:numPr>
        <w:rPr>
          <w:lang w:val="en-US"/>
        </w:rPr>
      </w:pPr>
      <w:r w:rsidRPr="007D7119">
        <w:rPr>
          <w:rFonts w:ascii="ArialMT" w:hAnsi="ArialMT"/>
          <w:sz w:val="20"/>
          <w:szCs w:val="20"/>
          <w:lang w:val="en-US"/>
        </w:rPr>
        <w:t>the qualifications evaluable and the maximum score they can generally obtain</w:t>
      </w:r>
      <w:r w:rsidR="00B76447" w:rsidRPr="007D7119">
        <w:rPr>
          <w:rFonts w:ascii="ArialMT" w:hAnsi="ArialMT"/>
          <w:sz w:val="20"/>
          <w:szCs w:val="20"/>
          <w:lang w:val="en-US"/>
        </w:rPr>
        <w:t xml:space="preserve"> </w:t>
      </w:r>
    </w:p>
    <w:p w:rsidR="007D7119" w:rsidRPr="007D7119" w:rsidRDefault="007D7119" w:rsidP="00C94D7B">
      <w:pPr>
        <w:pStyle w:val="NormaleWeb"/>
        <w:numPr>
          <w:ilvl w:val="0"/>
          <w:numId w:val="1"/>
        </w:numPr>
        <w:rPr>
          <w:lang w:val="en-US"/>
        </w:rPr>
      </w:pPr>
      <w:r w:rsidRPr="007D7119">
        <w:rPr>
          <w:rFonts w:ascii="ArialMT" w:hAnsi="ArialMT"/>
          <w:sz w:val="20"/>
          <w:szCs w:val="20"/>
          <w:lang w:val="en-US"/>
        </w:rPr>
        <w:t xml:space="preserve">the responsible of the procedure and data treatment; </w:t>
      </w:r>
    </w:p>
    <w:p w:rsidR="00B76447" w:rsidRPr="007D7119" w:rsidRDefault="007D7119" w:rsidP="00C94D7B">
      <w:pPr>
        <w:pStyle w:val="NormaleWeb"/>
        <w:numPr>
          <w:ilvl w:val="0"/>
          <w:numId w:val="1"/>
        </w:numPr>
      </w:pPr>
      <w:proofErr w:type="spellStart"/>
      <w:r>
        <w:rPr>
          <w:rFonts w:ascii="ArialMT" w:hAnsi="ArialMT"/>
          <w:sz w:val="20"/>
          <w:szCs w:val="20"/>
          <w:lang w:val="en-US"/>
        </w:rPr>
        <w:t>incompatibilies</w:t>
      </w:r>
      <w:proofErr w:type="spellEnd"/>
      <w:r>
        <w:rPr>
          <w:rFonts w:ascii="ArialMT" w:hAnsi="ArialMT"/>
          <w:sz w:val="20"/>
          <w:szCs w:val="20"/>
          <w:lang w:val="en-US"/>
        </w:rPr>
        <w:t xml:space="preserve"> </w:t>
      </w:r>
    </w:p>
    <w:p w:rsidR="007D7119" w:rsidRPr="007D7119" w:rsidRDefault="007D7119" w:rsidP="00C94D7B">
      <w:pPr>
        <w:pStyle w:val="NormaleWeb"/>
        <w:numPr>
          <w:ilvl w:val="0"/>
          <w:numId w:val="1"/>
        </w:numPr>
        <w:rPr>
          <w:lang w:val="en-US"/>
        </w:rPr>
      </w:pPr>
      <w:r>
        <w:rPr>
          <w:rFonts w:ascii="ArialMT" w:hAnsi="ArialMT"/>
          <w:sz w:val="20"/>
          <w:szCs w:val="20"/>
          <w:lang w:val="en-US"/>
        </w:rPr>
        <w:t xml:space="preserve">payment of the contribution to participate in the selection. </w:t>
      </w:r>
    </w:p>
    <w:p w:rsidR="00B76447" w:rsidRPr="001656CE" w:rsidRDefault="007D7119" w:rsidP="00B76447">
      <w:pPr>
        <w:pStyle w:val="NormaleWeb"/>
        <w:numPr>
          <w:ilvl w:val="0"/>
          <w:numId w:val="2"/>
        </w:numPr>
        <w:rPr>
          <w:lang w:val="en-US"/>
        </w:rPr>
      </w:pPr>
      <w:r w:rsidRPr="001656CE">
        <w:rPr>
          <w:rFonts w:ascii="ArialMT" w:hAnsi="ArialMT"/>
          <w:sz w:val="20"/>
          <w:szCs w:val="20"/>
          <w:lang w:val="en-US"/>
        </w:rPr>
        <w:t xml:space="preserve">Applications must be sent </w:t>
      </w:r>
      <w:proofErr w:type="spellStart"/>
      <w:r w:rsidRPr="001656CE">
        <w:rPr>
          <w:rFonts w:ascii="ArialMT" w:hAnsi="ArialMT"/>
          <w:sz w:val="20"/>
          <w:szCs w:val="20"/>
          <w:lang w:val="en-US"/>
        </w:rPr>
        <w:t>telematically</w:t>
      </w:r>
      <w:proofErr w:type="spellEnd"/>
      <w:r w:rsidR="001656CE" w:rsidRPr="001656CE">
        <w:rPr>
          <w:rFonts w:ascii="ArialMT" w:hAnsi="ArialMT"/>
          <w:sz w:val="20"/>
          <w:szCs w:val="20"/>
          <w:lang w:val="en-US"/>
        </w:rPr>
        <w:t xml:space="preserve">, via PEC (certified webmail) addressed to the Sapienza certified webmail service, or by registered post with acknowledgment of </w:t>
      </w:r>
      <w:proofErr w:type="gramStart"/>
      <w:r w:rsidR="001656CE" w:rsidRPr="001656CE">
        <w:rPr>
          <w:rFonts w:ascii="ArialMT" w:hAnsi="ArialMT"/>
          <w:sz w:val="20"/>
          <w:szCs w:val="20"/>
          <w:lang w:val="en-US"/>
        </w:rPr>
        <w:t>receipt ,</w:t>
      </w:r>
      <w:proofErr w:type="gramEnd"/>
      <w:r w:rsidR="001656CE" w:rsidRPr="001656CE">
        <w:rPr>
          <w:rFonts w:ascii="ArialMT" w:hAnsi="ArialMT"/>
          <w:sz w:val="20"/>
          <w:szCs w:val="20"/>
          <w:lang w:val="en-US"/>
        </w:rPr>
        <w:t xml:space="preserve"> or </w:t>
      </w:r>
      <w:r w:rsidR="001656CE">
        <w:rPr>
          <w:rFonts w:ascii="ArialMT" w:hAnsi="ArialMT"/>
          <w:sz w:val="20"/>
          <w:szCs w:val="20"/>
          <w:lang w:val="en-US"/>
        </w:rPr>
        <w:t>delivery;</w:t>
      </w:r>
    </w:p>
    <w:p w:rsidR="00B76447" w:rsidRPr="00B559A8" w:rsidRDefault="001656CE" w:rsidP="00B76447">
      <w:pPr>
        <w:pStyle w:val="NormaleWeb"/>
        <w:numPr>
          <w:ilvl w:val="0"/>
          <w:numId w:val="2"/>
        </w:numPr>
        <w:rPr>
          <w:lang w:val="en-US"/>
        </w:rPr>
      </w:pPr>
      <w:r w:rsidRPr="00B559A8">
        <w:rPr>
          <w:rFonts w:ascii="ArialMT" w:hAnsi="ArialMT"/>
          <w:sz w:val="20"/>
          <w:szCs w:val="20"/>
          <w:lang w:val="en-US"/>
        </w:rPr>
        <w:t xml:space="preserve">Identification signature of the Call; </w:t>
      </w:r>
    </w:p>
    <w:p w:rsidR="00B76447" w:rsidRPr="001656CE" w:rsidRDefault="00B76447" w:rsidP="00B76447">
      <w:pPr>
        <w:pStyle w:val="NormaleWeb"/>
        <w:ind w:left="720"/>
        <w:rPr>
          <w:lang w:val="en-US"/>
        </w:rPr>
      </w:pPr>
      <w:r w:rsidRPr="001656CE">
        <w:rPr>
          <w:rFonts w:ascii="Arial" w:hAnsi="Arial" w:cs="Arial"/>
          <w:b/>
          <w:bCs/>
          <w:sz w:val="20"/>
          <w:szCs w:val="20"/>
          <w:lang w:val="en-US"/>
        </w:rPr>
        <w:t xml:space="preserve">Art. 5 </w:t>
      </w:r>
      <w:r w:rsidR="001656CE" w:rsidRPr="001656CE">
        <w:rPr>
          <w:rFonts w:ascii="Arial" w:hAnsi="Arial" w:cs="Arial"/>
          <w:b/>
          <w:bCs/>
          <w:sz w:val="20"/>
          <w:szCs w:val="20"/>
          <w:lang w:val="en-US"/>
        </w:rPr>
        <w:t>–</w:t>
      </w:r>
      <w:r w:rsidRPr="001656CE">
        <w:rPr>
          <w:rFonts w:ascii="Arial" w:hAnsi="Arial" w:cs="Arial"/>
          <w:b/>
          <w:bCs/>
          <w:sz w:val="20"/>
          <w:szCs w:val="20"/>
          <w:lang w:val="en-US"/>
        </w:rPr>
        <w:t xml:space="preserve"> Requi</w:t>
      </w:r>
      <w:r w:rsidR="001656CE" w:rsidRPr="001656CE">
        <w:rPr>
          <w:rFonts w:ascii="Arial" w:hAnsi="Arial" w:cs="Arial"/>
          <w:b/>
          <w:bCs/>
          <w:sz w:val="20"/>
          <w:szCs w:val="20"/>
          <w:lang w:val="en-US"/>
        </w:rPr>
        <w:t>rements and certificates to participate</w:t>
      </w:r>
    </w:p>
    <w:p w:rsidR="001656CE" w:rsidRPr="001656CE" w:rsidRDefault="001656CE" w:rsidP="00B76447">
      <w:pPr>
        <w:pStyle w:val="NormaleWeb"/>
        <w:ind w:left="720"/>
        <w:rPr>
          <w:rFonts w:ascii="ArialMT" w:hAnsi="ArialMT"/>
          <w:sz w:val="20"/>
          <w:szCs w:val="20"/>
          <w:lang w:val="en-US"/>
        </w:rPr>
      </w:pPr>
      <w:r w:rsidRPr="001656CE">
        <w:rPr>
          <w:rFonts w:ascii="ArialMT" w:hAnsi="ArialMT"/>
          <w:sz w:val="20"/>
          <w:szCs w:val="20"/>
          <w:lang w:val="en-US"/>
        </w:rPr>
        <w:t xml:space="preserve">In addition to the general requirements set by art. 2 of Presidential Decree 9.5.1994 n. 487 and subsequent amendments and additions are admitted to participate in the public selection </w:t>
      </w:r>
      <w:proofErr w:type="gramStart"/>
      <w:r w:rsidRPr="001656CE">
        <w:rPr>
          <w:rFonts w:ascii="ArialMT" w:hAnsi="ArialMT"/>
          <w:sz w:val="20"/>
          <w:szCs w:val="20"/>
          <w:lang w:val="en-US"/>
        </w:rPr>
        <w:t>procedure  candidates</w:t>
      </w:r>
      <w:proofErr w:type="gramEnd"/>
      <w:r w:rsidRPr="001656CE">
        <w:rPr>
          <w:rFonts w:ascii="ArialMT" w:hAnsi="ArialMT"/>
          <w:sz w:val="20"/>
          <w:szCs w:val="20"/>
          <w:lang w:val="en-US"/>
        </w:rPr>
        <w:t xml:space="preserve"> in possession of an old degree or specialist degree or master's degree obtained in Italy or in one of the U.E</w:t>
      </w:r>
      <w:r w:rsidR="000F18AE">
        <w:rPr>
          <w:rFonts w:ascii="ArialMT" w:hAnsi="ArialMT"/>
          <w:sz w:val="20"/>
          <w:szCs w:val="20"/>
          <w:lang w:val="en-US"/>
        </w:rPr>
        <w:t xml:space="preserve"> countries</w:t>
      </w:r>
      <w:r w:rsidRPr="001656CE">
        <w:rPr>
          <w:rFonts w:ascii="ArialMT" w:hAnsi="ArialMT"/>
          <w:sz w:val="20"/>
          <w:szCs w:val="20"/>
          <w:lang w:val="en-US"/>
        </w:rPr>
        <w:t>.</w:t>
      </w:r>
    </w:p>
    <w:p w:rsidR="000F18AE" w:rsidRDefault="000F18AE" w:rsidP="00B76447">
      <w:pPr>
        <w:pStyle w:val="NormaleWeb"/>
        <w:ind w:left="720"/>
        <w:rPr>
          <w:rFonts w:ascii="ArialMT" w:hAnsi="ArialMT"/>
          <w:sz w:val="20"/>
          <w:szCs w:val="20"/>
          <w:lang w:val="en-US"/>
        </w:rPr>
      </w:pPr>
      <w:r w:rsidRPr="000F18AE">
        <w:rPr>
          <w:rFonts w:ascii="ArialMT" w:hAnsi="ArialMT"/>
          <w:sz w:val="20"/>
          <w:szCs w:val="20"/>
          <w:lang w:val="en-US"/>
        </w:rPr>
        <w:t xml:space="preserve">Alternatively, </w:t>
      </w:r>
      <w:r>
        <w:rPr>
          <w:rFonts w:ascii="ArialMT" w:hAnsi="ArialMT"/>
          <w:sz w:val="20"/>
          <w:szCs w:val="20"/>
          <w:lang w:val="en-US"/>
        </w:rPr>
        <w:t>are allowed to participate candidates</w:t>
      </w:r>
      <w:r w:rsidRPr="000F18AE">
        <w:rPr>
          <w:rFonts w:ascii="ArialMT" w:hAnsi="ArialMT"/>
          <w:sz w:val="20"/>
          <w:szCs w:val="20"/>
          <w:lang w:val="en-US"/>
        </w:rPr>
        <w:t xml:space="preserve"> who are in possession of a three-year degree and work experience with a subordinate or </w:t>
      </w:r>
      <w:proofErr w:type="spellStart"/>
      <w:r w:rsidRPr="000F18AE">
        <w:rPr>
          <w:rFonts w:ascii="ArialMT" w:hAnsi="ArialMT"/>
          <w:sz w:val="20"/>
          <w:szCs w:val="20"/>
          <w:lang w:val="en-US"/>
        </w:rPr>
        <w:t>parasubordinate</w:t>
      </w:r>
      <w:proofErr w:type="spellEnd"/>
      <w:r w:rsidRPr="000F18AE">
        <w:rPr>
          <w:rFonts w:ascii="ArialMT" w:hAnsi="ArialMT"/>
          <w:sz w:val="20"/>
          <w:szCs w:val="20"/>
          <w:lang w:val="en-US"/>
        </w:rPr>
        <w:t xml:space="preserve"> work contract with public administrations relevant to the activity required by the competition for at least two years.</w:t>
      </w:r>
    </w:p>
    <w:p w:rsidR="00B76447" w:rsidRPr="006B3674" w:rsidRDefault="000F18AE" w:rsidP="006B3674">
      <w:pPr>
        <w:pStyle w:val="NormaleWeb"/>
        <w:ind w:left="720"/>
        <w:rPr>
          <w:rFonts w:ascii="ArialMT" w:hAnsi="ArialMT"/>
          <w:sz w:val="20"/>
          <w:szCs w:val="20"/>
          <w:lang w:val="en-US"/>
        </w:rPr>
      </w:pPr>
      <w:r w:rsidRPr="000F18AE">
        <w:rPr>
          <w:rFonts w:ascii="ArialMT" w:hAnsi="ArialMT"/>
          <w:sz w:val="20"/>
          <w:szCs w:val="20"/>
          <w:lang w:val="en-US"/>
        </w:rPr>
        <w:t xml:space="preserve">In the case of selection of technologists referable to the EP category, the candidates, in addition to the academic qualifications referred to in the previous paragraph (old degree or </w:t>
      </w:r>
      <w:proofErr w:type="spellStart"/>
      <w:r w:rsidRPr="000F18AE">
        <w:rPr>
          <w:rFonts w:ascii="ArialMT" w:hAnsi="ArialMT"/>
          <w:sz w:val="20"/>
          <w:szCs w:val="20"/>
          <w:lang w:val="en-US"/>
        </w:rPr>
        <w:t>specialistic</w:t>
      </w:r>
      <w:proofErr w:type="spellEnd"/>
      <w:r w:rsidRPr="000F18AE">
        <w:rPr>
          <w:rFonts w:ascii="ArialMT" w:hAnsi="ArialMT"/>
          <w:sz w:val="20"/>
          <w:szCs w:val="20"/>
          <w:lang w:val="en-US"/>
        </w:rPr>
        <w:t xml:space="preserve"> degree or </w:t>
      </w:r>
      <w:r w:rsidR="006B3674">
        <w:rPr>
          <w:rFonts w:ascii="ArialMT" w:hAnsi="ArialMT"/>
          <w:sz w:val="20"/>
          <w:szCs w:val="20"/>
          <w:lang w:val="en-US"/>
        </w:rPr>
        <w:t>master’s</w:t>
      </w:r>
      <w:r w:rsidRPr="000F18AE">
        <w:rPr>
          <w:rFonts w:ascii="ArialMT" w:hAnsi="ArialMT"/>
          <w:sz w:val="20"/>
          <w:szCs w:val="20"/>
          <w:lang w:val="en-US"/>
        </w:rPr>
        <w:t xml:space="preserve"> degree) must also possess the professional qualification. This authorization can be replaced by a particular specific professional qualification </w:t>
      </w:r>
      <w:r w:rsidR="006B3674">
        <w:rPr>
          <w:rFonts w:ascii="ArialMT" w:hAnsi="ArialMT"/>
          <w:sz w:val="20"/>
          <w:szCs w:val="20"/>
          <w:lang w:val="en-US"/>
        </w:rPr>
        <w:t>related</w:t>
      </w:r>
      <w:r w:rsidRPr="000F18AE">
        <w:rPr>
          <w:rFonts w:ascii="ArialMT" w:hAnsi="ArialMT"/>
          <w:sz w:val="20"/>
          <w:szCs w:val="20"/>
          <w:lang w:val="en-US"/>
        </w:rPr>
        <w:t xml:space="preserve"> to the activity requested and obtainable from previous at least annual work experience and/or</w:t>
      </w:r>
      <w:r w:rsidR="006B3674">
        <w:rPr>
          <w:rFonts w:ascii="ArialMT" w:hAnsi="ArialMT"/>
          <w:sz w:val="20"/>
          <w:szCs w:val="20"/>
          <w:lang w:val="en-US"/>
        </w:rPr>
        <w:t xml:space="preserve"> further</w:t>
      </w:r>
      <w:r w:rsidRPr="000F18AE">
        <w:rPr>
          <w:rFonts w:ascii="ArialMT" w:hAnsi="ArialMT"/>
          <w:sz w:val="20"/>
          <w:szCs w:val="20"/>
          <w:lang w:val="en-US"/>
        </w:rPr>
        <w:t xml:space="preserve"> post-university qualifications. Alternatively, </w:t>
      </w:r>
      <w:r w:rsidR="006B3674">
        <w:rPr>
          <w:rFonts w:ascii="ArialMT" w:hAnsi="ArialMT"/>
          <w:sz w:val="20"/>
          <w:szCs w:val="20"/>
          <w:lang w:val="en-US"/>
        </w:rPr>
        <w:t xml:space="preserve">candidates who have </w:t>
      </w:r>
      <w:r w:rsidRPr="000F18AE">
        <w:rPr>
          <w:rFonts w:ascii="ArialMT" w:hAnsi="ArialMT"/>
          <w:sz w:val="20"/>
          <w:szCs w:val="20"/>
          <w:lang w:val="en-US"/>
        </w:rPr>
        <w:t xml:space="preserve">one of the three-year degrees envisaged by the Ministerial Decree 509/99 or one of the degrees provided for by the Ministerial Decree 270/04 and particular professional qualification deriving from work experience provided with a subordinate or </w:t>
      </w:r>
      <w:proofErr w:type="spellStart"/>
      <w:r w:rsidRPr="000F18AE">
        <w:rPr>
          <w:rFonts w:ascii="ArialMT" w:hAnsi="ArialMT"/>
          <w:sz w:val="20"/>
          <w:szCs w:val="20"/>
          <w:lang w:val="en-US"/>
        </w:rPr>
        <w:lastRenderedPageBreak/>
        <w:t>parasubordinate</w:t>
      </w:r>
      <w:proofErr w:type="spellEnd"/>
      <w:r w:rsidRPr="000F18AE">
        <w:rPr>
          <w:rFonts w:ascii="ArialMT" w:hAnsi="ArialMT"/>
          <w:sz w:val="20"/>
          <w:szCs w:val="20"/>
          <w:lang w:val="en-US"/>
        </w:rPr>
        <w:t xml:space="preserve"> employment contract in public administrations relevant to the activity required by the competition announcement for a period of at least three years</w:t>
      </w:r>
      <w:r w:rsidR="006B3674">
        <w:rPr>
          <w:rFonts w:ascii="ArialMT" w:hAnsi="ArialMT"/>
          <w:sz w:val="20"/>
          <w:szCs w:val="20"/>
          <w:lang w:val="en-US"/>
        </w:rPr>
        <w:t xml:space="preserve">, </w:t>
      </w:r>
      <w:r w:rsidR="006B3674" w:rsidRPr="000F18AE">
        <w:rPr>
          <w:rFonts w:ascii="ArialMT" w:hAnsi="ArialMT"/>
          <w:sz w:val="20"/>
          <w:szCs w:val="20"/>
          <w:lang w:val="en-US"/>
        </w:rPr>
        <w:t>are also admitted to participate</w:t>
      </w:r>
      <w:r w:rsidRPr="000F18AE">
        <w:rPr>
          <w:rFonts w:ascii="ArialMT" w:hAnsi="ArialMT"/>
          <w:sz w:val="20"/>
          <w:szCs w:val="20"/>
          <w:lang w:val="en-US"/>
        </w:rPr>
        <w:t>.</w:t>
      </w:r>
    </w:p>
    <w:p w:rsidR="00B76447" w:rsidRPr="00B559A8" w:rsidRDefault="00B76447" w:rsidP="00B76447">
      <w:pPr>
        <w:pStyle w:val="NormaleWeb"/>
        <w:ind w:left="720"/>
        <w:rPr>
          <w:lang w:val="en-US"/>
        </w:rPr>
      </w:pPr>
      <w:r w:rsidRPr="00B559A8">
        <w:rPr>
          <w:rFonts w:ascii="Arial" w:hAnsi="Arial" w:cs="Arial"/>
          <w:b/>
          <w:bCs/>
          <w:sz w:val="20"/>
          <w:szCs w:val="20"/>
          <w:lang w:val="en-US"/>
        </w:rPr>
        <w:t xml:space="preserve">Art. 6 </w:t>
      </w:r>
      <w:r w:rsidR="006B3674" w:rsidRPr="00B559A8">
        <w:rPr>
          <w:rFonts w:ascii="Arial" w:hAnsi="Arial" w:cs="Arial"/>
          <w:b/>
          <w:bCs/>
          <w:sz w:val="20"/>
          <w:szCs w:val="20"/>
          <w:lang w:val="en-US"/>
        </w:rPr>
        <w:t>–</w:t>
      </w:r>
      <w:r w:rsidRPr="00B559A8">
        <w:rPr>
          <w:rFonts w:ascii="Arial" w:hAnsi="Arial" w:cs="Arial"/>
          <w:b/>
          <w:bCs/>
          <w:sz w:val="20"/>
          <w:szCs w:val="20"/>
          <w:lang w:val="en-US"/>
        </w:rPr>
        <w:t xml:space="preserve"> </w:t>
      </w:r>
      <w:r w:rsidR="006B3674" w:rsidRPr="00B559A8">
        <w:rPr>
          <w:rFonts w:ascii="Arial" w:hAnsi="Arial" w:cs="Arial"/>
          <w:b/>
          <w:bCs/>
          <w:sz w:val="20"/>
          <w:szCs w:val="20"/>
          <w:lang w:val="en-US"/>
        </w:rPr>
        <w:t>Contest Tax</w:t>
      </w:r>
      <w:r w:rsidRPr="00B559A8">
        <w:rPr>
          <w:rFonts w:ascii="Arial" w:hAnsi="Arial" w:cs="Arial"/>
          <w:b/>
          <w:bCs/>
          <w:sz w:val="20"/>
          <w:szCs w:val="20"/>
          <w:lang w:val="en-US"/>
        </w:rPr>
        <w:t xml:space="preserve"> </w:t>
      </w:r>
    </w:p>
    <w:p w:rsidR="00B62E9D" w:rsidRPr="00B62E9D" w:rsidRDefault="006B3674" w:rsidP="00B76447">
      <w:pPr>
        <w:pStyle w:val="NormaleWeb"/>
        <w:ind w:left="720"/>
        <w:rPr>
          <w:rFonts w:ascii="ArialMT" w:hAnsi="ArialMT"/>
          <w:sz w:val="20"/>
          <w:szCs w:val="20"/>
          <w:lang w:val="en-US"/>
        </w:rPr>
      </w:pPr>
      <w:r w:rsidRPr="00B62E9D">
        <w:rPr>
          <w:rFonts w:ascii="ArialMT" w:hAnsi="ArialMT"/>
          <w:sz w:val="20"/>
          <w:szCs w:val="20"/>
          <w:lang w:val="en-US"/>
        </w:rPr>
        <w:t xml:space="preserve">Candidates have to pay, in the modality stated in the Call, a nonrefundable contribution of 10 euros, as stated by the law </w:t>
      </w:r>
      <w:r w:rsidR="00B76447" w:rsidRPr="00B62E9D">
        <w:rPr>
          <w:rFonts w:ascii="ArialMT" w:hAnsi="ArialMT"/>
          <w:sz w:val="20"/>
          <w:szCs w:val="20"/>
          <w:lang w:val="en-US"/>
        </w:rPr>
        <w:t xml:space="preserve">101/2013 </w:t>
      </w:r>
      <w:r w:rsidRPr="00B62E9D">
        <w:rPr>
          <w:rFonts w:ascii="ArialMT" w:hAnsi="ArialMT"/>
          <w:sz w:val="20"/>
          <w:szCs w:val="20"/>
          <w:lang w:val="en-US"/>
        </w:rPr>
        <w:t xml:space="preserve">and following changes, assigned </w:t>
      </w:r>
      <w:r w:rsidR="00B62E9D" w:rsidRPr="00B62E9D">
        <w:rPr>
          <w:rFonts w:ascii="ArialMT" w:hAnsi="ArialMT"/>
          <w:sz w:val="20"/>
          <w:szCs w:val="20"/>
          <w:lang w:val="en-US"/>
        </w:rPr>
        <w:t>to La Sapienza University of Rome, with Reason: “</w:t>
      </w:r>
      <w:proofErr w:type="spellStart"/>
      <w:r w:rsidR="00B62E9D" w:rsidRPr="00B62E9D">
        <w:rPr>
          <w:rFonts w:ascii="ArialMT" w:hAnsi="ArialMT"/>
          <w:sz w:val="20"/>
          <w:szCs w:val="20"/>
          <w:lang w:val="en-US"/>
        </w:rPr>
        <w:t>Contributo</w:t>
      </w:r>
      <w:proofErr w:type="spellEnd"/>
      <w:r w:rsidR="00B62E9D" w:rsidRPr="00B62E9D">
        <w:rPr>
          <w:rFonts w:ascii="ArialMT" w:hAnsi="ArialMT"/>
          <w:sz w:val="20"/>
          <w:szCs w:val="20"/>
          <w:lang w:val="en-US"/>
        </w:rPr>
        <w:t xml:space="preserve"> per la </w:t>
      </w:r>
      <w:proofErr w:type="spellStart"/>
      <w:r w:rsidR="00B62E9D" w:rsidRPr="00B62E9D">
        <w:rPr>
          <w:rFonts w:ascii="ArialMT" w:hAnsi="ArialMT"/>
          <w:sz w:val="20"/>
          <w:szCs w:val="20"/>
          <w:lang w:val="en-US"/>
        </w:rPr>
        <w:t>partecipazione</w:t>
      </w:r>
      <w:proofErr w:type="spellEnd"/>
      <w:r w:rsidR="00B62E9D" w:rsidRPr="00B62E9D">
        <w:rPr>
          <w:rFonts w:ascii="ArialMT" w:hAnsi="ArialMT"/>
          <w:sz w:val="20"/>
          <w:szCs w:val="20"/>
          <w:lang w:val="en-US"/>
        </w:rPr>
        <w:t xml:space="preserve"> al </w:t>
      </w:r>
      <w:proofErr w:type="spellStart"/>
      <w:r w:rsidR="00B62E9D" w:rsidRPr="00B62E9D">
        <w:rPr>
          <w:rFonts w:ascii="ArialMT" w:hAnsi="ArialMT"/>
          <w:sz w:val="20"/>
          <w:szCs w:val="20"/>
          <w:lang w:val="en-US"/>
        </w:rPr>
        <w:t>concorso</w:t>
      </w:r>
      <w:proofErr w:type="spellEnd"/>
      <w:r w:rsidR="00B62E9D" w:rsidRPr="00B62E9D">
        <w:rPr>
          <w:rFonts w:ascii="ArialMT" w:hAnsi="ArialMT"/>
          <w:sz w:val="20"/>
          <w:szCs w:val="20"/>
          <w:lang w:val="en-US"/>
        </w:rPr>
        <w:t>”, and speci</w:t>
      </w:r>
      <w:r w:rsidR="00B62E9D">
        <w:rPr>
          <w:rFonts w:ascii="ArialMT" w:hAnsi="ArialMT"/>
          <w:sz w:val="20"/>
          <w:szCs w:val="20"/>
          <w:lang w:val="en-US"/>
        </w:rPr>
        <w:t>fying the identification signature of the Call itself. The receipt of the deposit must be attached to the application, under penalty of expulsion.</w:t>
      </w:r>
    </w:p>
    <w:p w:rsidR="00B76447" w:rsidRPr="00D674C7" w:rsidRDefault="00B76447" w:rsidP="00B76447">
      <w:pPr>
        <w:pStyle w:val="NormaleWeb"/>
        <w:ind w:left="720"/>
        <w:rPr>
          <w:lang w:val="en-US"/>
        </w:rPr>
      </w:pPr>
      <w:r w:rsidRPr="00D674C7">
        <w:rPr>
          <w:rFonts w:ascii="Arial" w:hAnsi="Arial" w:cs="Arial"/>
          <w:b/>
          <w:bCs/>
          <w:sz w:val="20"/>
          <w:szCs w:val="20"/>
          <w:lang w:val="en-US"/>
        </w:rPr>
        <w:t xml:space="preserve">Art. 7- </w:t>
      </w:r>
      <w:r w:rsidR="00B62E9D" w:rsidRPr="00D674C7">
        <w:rPr>
          <w:rFonts w:ascii="Arial" w:hAnsi="Arial" w:cs="Arial"/>
          <w:b/>
          <w:bCs/>
          <w:sz w:val="20"/>
          <w:szCs w:val="20"/>
          <w:lang w:val="en-US"/>
        </w:rPr>
        <w:t xml:space="preserve">Exam </w:t>
      </w:r>
      <w:r w:rsidRPr="00D674C7">
        <w:rPr>
          <w:rFonts w:ascii="Arial" w:hAnsi="Arial" w:cs="Arial"/>
          <w:b/>
          <w:bCs/>
          <w:sz w:val="20"/>
          <w:szCs w:val="20"/>
          <w:lang w:val="en-US"/>
        </w:rPr>
        <w:t xml:space="preserve"> </w:t>
      </w:r>
    </w:p>
    <w:p w:rsidR="00B76447" w:rsidRDefault="00B559A8" w:rsidP="00B76447">
      <w:pPr>
        <w:pStyle w:val="NormaleWeb"/>
        <w:ind w:left="720"/>
        <w:rPr>
          <w:rFonts w:ascii="ArialMT" w:hAnsi="ArialMT"/>
          <w:sz w:val="20"/>
          <w:szCs w:val="20"/>
          <w:lang w:val="en-US"/>
        </w:rPr>
      </w:pPr>
      <w:r w:rsidRPr="00B559A8">
        <w:rPr>
          <w:rFonts w:ascii="ArialMT" w:hAnsi="ArialMT"/>
          <w:sz w:val="20"/>
          <w:szCs w:val="20"/>
          <w:lang w:val="en-US"/>
        </w:rPr>
        <w:t xml:space="preserve">The </w:t>
      </w:r>
      <w:proofErr w:type="spellStart"/>
      <w:r w:rsidRPr="00B559A8">
        <w:rPr>
          <w:rFonts w:ascii="ArialMT" w:hAnsi="ArialMT"/>
          <w:sz w:val="20"/>
          <w:szCs w:val="20"/>
          <w:lang w:val="en-US"/>
        </w:rPr>
        <w:t>program</w:t>
      </w:r>
      <w:r w:rsidR="00D674C7">
        <w:rPr>
          <w:rFonts w:ascii="ArialMT" w:hAnsi="ArialMT"/>
          <w:sz w:val="20"/>
          <w:szCs w:val="20"/>
          <w:lang w:val="en-US"/>
        </w:rPr>
        <w:t>me</w:t>
      </w:r>
      <w:proofErr w:type="spellEnd"/>
      <w:r w:rsidRPr="00B559A8">
        <w:rPr>
          <w:rFonts w:ascii="ArialMT" w:hAnsi="ArialMT"/>
          <w:sz w:val="20"/>
          <w:szCs w:val="20"/>
          <w:lang w:val="en-US"/>
        </w:rPr>
        <w:t xml:space="preserve"> and the contents of the exams indicated in the calls are aimed a</w:t>
      </w:r>
      <w:r w:rsidR="00D674C7">
        <w:rPr>
          <w:rFonts w:ascii="ArialMT" w:hAnsi="ArialMT"/>
          <w:sz w:val="20"/>
          <w:szCs w:val="20"/>
          <w:lang w:val="en-US"/>
        </w:rPr>
        <w:t xml:space="preserve">t checking the preparation in the field of </w:t>
      </w:r>
      <w:r w:rsidRPr="00B559A8">
        <w:rPr>
          <w:rFonts w:ascii="ArialMT" w:hAnsi="ArialMT"/>
          <w:sz w:val="20"/>
          <w:szCs w:val="20"/>
          <w:lang w:val="en-US"/>
        </w:rPr>
        <w:t xml:space="preserve">specific culture and verifying the theoretical-practical preparation of the candidates, in relation to the specific competences </w:t>
      </w:r>
      <w:r w:rsidR="00D674C7">
        <w:rPr>
          <w:rFonts w:ascii="ArialMT" w:hAnsi="ArialMT"/>
          <w:sz w:val="20"/>
          <w:szCs w:val="20"/>
          <w:lang w:val="en-US"/>
        </w:rPr>
        <w:t xml:space="preserve">required for the place they compete for </w:t>
      </w:r>
      <w:r w:rsidRPr="00B559A8">
        <w:rPr>
          <w:rFonts w:ascii="ArialMT" w:hAnsi="ArialMT"/>
          <w:sz w:val="20"/>
          <w:szCs w:val="20"/>
          <w:lang w:val="en-US"/>
        </w:rPr>
        <w:t xml:space="preserve">and will consist in a written test, possibly </w:t>
      </w:r>
      <w:r w:rsidR="00D674C7">
        <w:rPr>
          <w:rFonts w:ascii="ArialMT" w:hAnsi="ArialMT"/>
          <w:sz w:val="20"/>
          <w:szCs w:val="20"/>
          <w:lang w:val="en-US"/>
        </w:rPr>
        <w:t>either</w:t>
      </w:r>
      <w:r w:rsidRPr="00B559A8">
        <w:rPr>
          <w:rFonts w:ascii="ArialMT" w:hAnsi="ArialMT"/>
          <w:sz w:val="20"/>
          <w:szCs w:val="20"/>
          <w:lang w:val="en-US"/>
        </w:rPr>
        <w:t xml:space="preserve"> theoretical and practical, and an oral test.</w:t>
      </w:r>
    </w:p>
    <w:p w:rsidR="0090312B" w:rsidRDefault="00D674C7" w:rsidP="0090312B">
      <w:pPr>
        <w:pStyle w:val="NormaleWeb"/>
        <w:ind w:left="720"/>
        <w:rPr>
          <w:rFonts w:ascii="ArialMT" w:hAnsi="ArialMT"/>
          <w:sz w:val="20"/>
          <w:szCs w:val="20"/>
          <w:lang w:val="en-US"/>
        </w:rPr>
      </w:pPr>
      <w:r w:rsidRPr="00D674C7">
        <w:rPr>
          <w:rFonts w:ascii="ArialMT" w:hAnsi="ArialMT"/>
          <w:sz w:val="20"/>
          <w:szCs w:val="20"/>
          <w:lang w:val="en-US"/>
        </w:rPr>
        <w:t xml:space="preserve">Are </w:t>
      </w:r>
      <w:proofErr w:type="spellStart"/>
      <w:r w:rsidRPr="00D674C7">
        <w:rPr>
          <w:rFonts w:ascii="ArialMT" w:hAnsi="ArialMT"/>
          <w:sz w:val="20"/>
          <w:szCs w:val="20"/>
          <w:lang w:val="en-US"/>
        </w:rPr>
        <w:t>admitteed</w:t>
      </w:r>
      <w:proofErr w:type="spellEnd"/>
      <w:r w:rsidRPr="00D674C7">
        <w:rPr>
          <w:rFonts w:ascii="ArialMT" w:hAnsi="ArialMT"/>
          <w:sz w:val="20"/>
          <w:szCs w:val="20"/>
          <w:lang w:val="en-US"/>
        </w:rPr>
        <w:t xml:space="preserve"> to the oral </w:t>
      </w:r>
      <w:r>
        <w:rPr>
          <w:rFonts w:ascii="ArialMT" w:hAnsi="ArialMT"/>
          <w:sz w:val="20"/>
          <w:szCs w:val="20"/>
          <w:lang w:val="en-US"/>
        </w:rPr>
        <w:t>exam</w:t>
      </w:r>
      <w:r w:rsidRPr="00D674C7">
        <w:rPr>
          <w:rFonts w:ascii="ArialMT" w:hAnsi="ArialMT"/>
          <w:sz w:val="20"/>
          <w:szCs w:val="20"/>
          <w:lang w:val="en-US"/>
        </w:rPr>
        <w:t xml:space="preserve"> candidates who have obtained a mark of at least 14/20 or equivalent in the written/practical </w:t>
      </w:r>
      <w:r>
        <w:rPr>
          <w:rFonts w:ascii="ArialMT" w:hAnsi="ArialMT"/>
          <w:sz w:val="20"/>
          <w:szCs w:val="20"/>
          <w:lang w:val="en-US"/>
        </w:rPr>
        <w:t xml:space="preserve">exam. </w:t>
      </w:r>
      <w:r w:rsidRPr="00D674C7">
        <w:rPr>
          <w:rFonts w:ascii="ArialMT" w:hAnsi="ArialMT"/>
          <w:sz w:val="20"/>
          <w:szCs w:val="20"/>
          <w:lang w:val="en-US"/>
        </w:rPr>
        <w:t xml:space="preserve">The oral exam will focus on the assessment of the subjects and/or topics included in the </w:t>
      </w:r>
      <w:r w:rsidR="0090312B">
        <w:rPr>
          <w:rFonts w:ascii="ArialMT" w:hAnsi="ArialMT"/>
          <w:sz w:val="20"/>
          <w:szCs w:val="20"/>
          <w:lang w:val="en-US"/>
        </w:rPr>
        <w:t>call</w:t>
      </w:r>
      <w:r w:rsidRPr="00D674C7">
        <w:rPr>
          <w:rFonts w:ascii="ArialMT" w:hAnsi="ArialMT"/>
          <w:sz w:val="20"/>
          <w:szCs w:val="20"/>
          <w:lang w:val="en-US"/>
        </w:rPr>
        <w:t xml:space="preserve"> as well as on the discussion of the written and/or theoretical-practical exam. As part of the aforementioned test, the candidate must demonstrate knowledge of the English language and knowledge of the computer applications inherent to the scientific activity of the reference project. </w:t>
      </w:r>
      <w:r w:rsidRPr="00187F1D">
        <w:rPr>
          <w:rFonts w:ascii="ArialMT" w:hAnsi="ArialMT"/>
          <w:sz w:val="20"/>
          <w:szCs w:val="20"/>
          <w:lang w:val="en-US"/>
        </w:rPr>
        <w:t>Knowledge of elements of University Legislation is also required.</w:t>
      </w:r>
    </w:p>
    <w:p w:rsidR="00B76447" w:rsidRPr="0090312B" w:rsidRDefault="0090312B" w:rsidP="0090312B">
      <w:pPr>
        <w:pStyle w:val="NormaleWeb"/>
        <w:ind w:left="720"/>
        <w:rPr>
          <w:rFonts w:ascii="ArialMT" w:hAnsi="ArialMT"/>
          <w:sz w:val="20"/>
          <w:szCs w:val="20"/>
          <w:lang w:val="en-US"/>
        </w:rPr>
      </w:pPr>
      <w:r w:rsidRPr="0090312B">
        <w:rPr>
          <w:rFonts w:ascii="ArialMT" w:hAnsi="ArialMT"/>
          <w:sz w:val="20"/>
          <w:szCs w:val="20"/>
          <w:lang w:val="en-US"/>
        </w:rPr>
        <w:t xml:space="preserve">The oral exam is considered passed with a mark of at </w:t>
      </w:r>
      <w:proofErr w:type="spellStart"/>
      <w:r w:rsidRPr="00D674C7">
        <w:rPr>
          <w:rFonts w:ascii="ArialMT" w:hAnsi="ArialMT"/>
          <w:sz w:val="20"/>
          <w:szCs w:val="20"/>
          <w:lang w:val="en-US"/>
        </w:rPr>
        <w:t>at</w:t>
      </w:r>
      <w:proofErr w:type="spellEnd"/>
      <w:r w:rsidRPr="00D674C7">
        <w:rPr>
          <w:rFonts w:ascii="ArialMT" w:hAnsi="ArialMT"/>
          <w:sz w:val="20"/>
          <w:szCs w:val="20"/>
          <w:lang w:val="en-US"/>
        </w:rPr>
        <w:t xml:space="preserve"> least 14/20 or equivalent</w:t>
      </w:r>
      <w:r w:rsidR="00B76447" w:rsidRPr="0090312B">
        <w:rPr>
          <w:rFonts w:ascii="ArialMT" w:hAnsi="ArialMT"/>
          <w:sz w:val="20"/>
          <w:szCs w:val="20"/>
          <w:lang w:val="en-US"/>
        </w:rPr>
        <w:t xml:space="preserve">. </w:t>
      </w:r>
    </w:p>
    <w:p w:rsidR="00B76447" w:rsidRPr="0090312B" w:rsidRDefault="00B76447" w:rsidP="00B76447">
      <w:pPr>
        <w:pStyle w:val="NormaleWeb"/>
        <w:ind w:left="720"/>
        <w:rPr>
          <w:lang w:val="en-US"/>
        </w:rPr>
      </w:pPr>
      <w:r w:rsidRPr="0090312B">
        <w:rPr>
          <w:rFonts w:ascii="Arial" w:hAnsi="Arial" w:cs="Arial"/>
          <w:b/>
          <w:bCs/>
          <w:sz w:val="20"/>
          <w:szCs w:val="20"/>
          <w:lang w:val="en-US"/>
        </w:rPr>
        <w:t xml:space="preserve">Art. 8 - </w:t>
      </w:r>
      <w:r w:rsidR="0090312B" w:rsidRPr="0090312B">
        <w:rPr>
          <w:rFonts w:ascii="Arial" w:hAnsi="Arial" w:cs="Arial"/>
          <w:b/>
          <w:bCs/>
          <w:sz w:val="20"/>
          <w:szCs w:val="20"/>
          <w:lang w:val="en-US"/>
        </w:rPr>
        <w:t>Assessable qualifications</w:t>
      </w:r>
    </w:p>
    <w:p w:rsidR="0090312B" w:rsidRPr="0090312B" w:rsidRDefault="0090312B" w:rsidP="00B76447">
      <w:pPr>
        <w:pStyle w:val="NormaleWeb"/>
        <w:ind w:left="720"/>
        <w:rPr>
          <w:rFonts w:ascii="ArialMT" w:hAnsi="ArialMT"/>
          <w:sz w:val="20"/>
          <w:szCs w:val="20"/>
          <w:lang w:val="en-US"/>
        </w:rPr>
      </w:pPr>
      <w:r w:rsidRPr="0090312B">
        <w:rPr>
          <w:rFonts w:ascii="ArialMT" w:hAnsi="ArialMT"/>
          <w:sz w:val="20"/>
          <w:szCs w:val="20"/>
          <w:lang w:val="en-US"/>
        </w:rPr>
        <w:t xml:space="preserve">The maximum score attributable to the qualifications provided for in the </w:t>
      </w:r>
      <w:r>
        <w:rPr>
          <w:rFonts w:ascii="ArialMT" w:hAnsi="ArialMT"/>
          <w:sz w:val="20"/>
          <w:szCs w:val="20"/>
          <w:lang w:val="en-US"/>
        </w:rPr>
        <w:t>call</w:t>
      </w:r>
      <w:r w:rsidRPr="0090312B">
        <w:rPr>
          <w:rFonts w:ascii="ArialMT" w:hAnsi="ArialMT"/>
          <w:sz w:val="20"/>
          <w:szCs w:val="20"/>
          <w:lang w:val="en-US"/>
        </w:rPr>
        <w:t xml:space="preserve"> must not be less than 60% of the overall score available, they must include at least three of the following categories of qualifications: - academic qualification, </w:t>
      </w:r>
      <w:r>
        <w:rPr>
          <w:rFonts w:ascii="ArialMT" w:hAnsi="ArialMT"/>
          <w:sz w:val="20"/>
          <w:szCs w:val="20"/>
          <w:lang w:val="en-US"/>
        </w:rPr>
        <w:t>considering</w:t>
      </w:r>
      <w:r w:rsidRPr="0090312B">
        <w:rPr>
          <w:rFonts w:ascii="ArialMT" w:hAnsi="ArialMT"/>
          <w:sz w:val="20"/>
          <w:szCs w:val="20"/>
          <w:lang w:val="en-US"/>
        </w:rPr>
        <w:t xml:space="preserve"> the duration of the study </w:t>
      </w:r>
      <w:proofErr w:type="spellStart"/>
      <w:r>
        <w:rPr>
          <w:rFonts w:ascii="ArialMT" w:hAnsi="ArialMT"/>
          <w:sz w:val="20"/>
          <w:szCs w:val="20"/>
          <w:lang w:val="en-US"/>
        </w:rPr>
        <w:t>programme</w:t>
      </w:r>
      <w:proofErr w:type="spellEnd"/>
      <w:r>
        <w:rPr>
          <w:rFonts w:ascii="ArialMT" w:hAnsi="ArialMT"/>
          <w:sz w:val="20"/>
          <w:szCs w:val="20"/>
          <w:lang w:val="en-US"/>
        </w:rPr>
        <w:t xml:space="preserve"> </w:t>
      </w:r>
      <w:r w:rsidRPr="0090312B">
        <w:rPr>
          <w:rFonts w:ascii="ArialMT" w:hAnsi="ArialMT"/>
          <w:sz w:val="20"/>
          <w:szCs w:val="20"/>
          <w:lang w:val="en-US"/>
        </w:rPr>
        <w:t>and the evaluation or judgment reported;</w:t>
      </w:r>
    </w:p>
    <w:p w:rsidR="0090312B" w:rsidRPr="0090312B" w:rsidRDefault="0090312B" w:rsidP="0090312B">
      <w:pPr>
        <w:pStyle w:val="NormaleWeb"/>
        <w:rPr>
          <w:rFonts w:ascii="ArialMT" w:hAnsi="ArialMT"/>
          <w:sz w:val="20"/>
          <w:szCs w:val="20"/>
          <w:lang w:val="en-US"/>
        </w:rPr>
      </w:pPr>
      <w:r w:rsidRPr="0090312B">
        <w:rPr>
          <w:rFonts w:ascii="ArialMT" w:hAnsi="ArialMT"/>
          <w:sz w:val="20"/>
          <w:szCs w:val="20"/>
          <w:lang w:val="en-US"/>
        </w:rPr>
        <w:t xml:space="preserve">- subordinate or </w:t>
      </w:r>
      <w:proofErr w:type="spellStart"/>
      <w:r w:rsidRPr="0090312B">
        <w:rPr>
          <w:rFonts w:ascii="ArialMT" w:hAnsi="ArialMT"/>
          <w:sz w:val="20"/>
          <w:szCs w:val="20"/>
          <w:lang w:val="en-US"/>
        </w:rPr>
        <w:t>parasubordinate</w:t>
      </w:r>
      <w:proofErr w:type="spellEnd"/>
      <w:r w:rsidRPr="0090312B">
        <w:rPr>
          <w:rFonts w:ascii="ArialMT" w:hAnsi="ArialMT"/>
          <w:sz w:val="20"/>
          <w:szCs w:val="20"/>
          <w:lang w:val="en-US"/>
        </w:rPr>
        <w:t xml:space="preserve"> work provided by public administrations or private individuals concerning the professional profile </w:t>
      </w:r>
      <w:r w:rsidR="00B479D2">
        <w:rPr>
          <w:rFonts w:ascii="ArialMT" w:hAnsi="ArialMT"/>
          <w:sz w:val="20"/>
          <w:szCs w:val="20"/>
          <w:lang w:val="en-US"/>
        </w:rPr>
        <w:t>stated in the call</w:t>
      </w:r>
      <w:r w:rsidRPr="0090312B">
        <w:rPr>
          <w:rFonts w:ascii="ArialMT" w:hAnsi="ArialMT"/>
          <w:sz w:val="20"/>
          <w:szCs w:val="20"/>
          <w:lang w:val="en-US"/>
        </w:rPr>
        <w:t>;</w:t>
      </w:r>
    </w:p>
    <w:p w:rsidR="0090312B" w:rsidRPr="0090312B" w:rsidRDefault="0090312B" w:rsidP="0090312B">
      <w:pPr>
        <w:pStyle w:val="NormaleWeb"/>
        <w:rPr>
          <w:rFonts w:ascii="ArialMT" w:hAnsi="ArialMT"/>
          <w:sz w:val="20"/>
          <w:szCs w:val="20"/>
          <w:lang w:val="en-US"/>
        </w:rPr>
      </w:pPr>
      <w:r w:rsidRPr="0090312B">
        <w:rPr>
          <w:rFonts w:ascii="ArialMT" w:hAnsi="ArialMT"/>
          <w:sz w:val="20"/>
          <w:szCs w:val="20"/>
          <w:lang w:val="en-US"/>
        </w:rPr>
        <w:t xml:space="preserve">- professional qualifications specifically related to the qualification required for the place </w:t>
      </w:r>
      <w:r w:rsidR="00B479D2">
        <w:rPr>
          <w:rFonts w:ascii="ArialMT" w:hAnsi="ArialMT"/>
          <w:sz w:val="20"/>
          <w:szCs w:val="20"/>
          <w:lang w:val="en-US"/>
        </w:rPr>
        <w:t xml:space="preserve">for which candidates compete </w:t>
      </w:r>
      <w:r w:rsidRPr="0090312B">
        <w:rPr>
          <w:rFonts w:ascii="ArialMT" w:hAnsi="ArialMT"/>
          <w:sz w:val="20"/>
          <w:szCs w:val="20"/>
          <w:lang w:val="en-US"/>
        </w:rPr>
        <w:t>(particular positions of responsibility, activities and teaching assignments, qualifications);</w:t>
      </w:r>
    </w:p>
    <w:p w:rsidR="00B479D2" w:rsidRPr="00B479D2" w:rsidRDefault="00B479D2" w:rsidP="00B479D2">
      <w:pPr>
        <w:pStyle w:val="NormaleWeb"/>
        <w:rPr>
          <w:rFonts w:ascii="ArialMT" w:hAnsi="ArialMT"/>
          <w:sz w:val="20"/>
          <w:szCs w:val="20"/>
          <w:lang w:val="en-US"/>
        </w:rPr>
      </w:pPr>
      <w:r w:rsidRPr="00B479D2">
        <w:rPr>
          <w:rFonts w:ascii="ArialMT" w:hAnsi="ArialMT"/>
          <w:sz w:val="20"/>
          <w:szCs w:val="20"/>
          <w:lang w:val="en-US"/>
        </w:rPr>
        <w:t xml:space="preserve">-cultural qualifications related to the professional profile required by the </w:t>
      </w:r>
      <w:r>
        <w:rPr>
          <w:rFonts w:ascii="ArialMT" w:hAnsi="ArialMT"/>
          <w:sz w:val="20"/>
          <w:szCs w:val="20"/>
          <w:lang w:val="en-US"/>
        </w:rPr>
        <w:t>call</w:t>
      </w:r>
      <w:r w:rsidRPr="00B479D2">
        <w:rPr>
          <w:rFonts w:ascii="ArialMT" w:hAnsi="ArialMT"/>
          <w:sz w:val="20"/>
          <w:szCs w:val="20"/>
          <w:lang w:val="en-US"/>
        </w:rPr>
        <w:t xml:space="preserve"> announcement (postgraduate diplomas, attendance at training and refresher courses with final judgment, academic qualifications other than that required by the call, </w:t>
      </w:r>
      <w:proofErr w:type="spellStart"/>
      <w:r>
        <w:rPr>
          <w:rFonts w:ascii="ArialMT" w:hAnsi="ArialMT"/>
          <w:sz w:val="20"/>
          <w:szCs w:val="20"/>
          <w:lang w:val="en-US"/>
        </w:rPr>
        <w:t>Phds</w:t>
      </w:r>
      <w:proofErr w:type="spellEnd"/>
      <w:r w:rsidRPr="00B479D2">
        <w:rPr>
          <w:rFonts w:ascii="ArialMT" w:hAnsi="ArialMT"/>
          <w:sz w:val="20"/>
          <w:szCs w:val="20"/>
          <w:lang w:val="en-US"/>
        </w:rPr>
        <w:t>, masters, etc.);</w:t>
      </w:r>
    </w:p>
    <w:p w:rsidR="00B479D2" w:rsidRPr="00B479D2" w:rsidRDefault="00B479D2" w:rsidP="00B479D2">
      <w:pPr>
        <w:pStyle w:val="NormaleWeb"/>
        <w:rPr>
          <w:rFonts w:ascii="ArialMT" w:hAnsi="ArialMT"/>
          <w:sz w:val="20"/>
          <w:szCs w:val="20"/>
          <w:lang w:val="en-US"/>
        </w:rPr>
      </w:pPr>
      <w:r w:rsidRPr="00B479D2">
        <w:rPr>
          <w:rFonts w:ascii="ArialMT" w:hAnsi="ArialMT"/>
          <w:sz w:val="20"/>
          <w:szCs w:val="20"/>
          <w:lang w:val="en-US"/>
        </w:rPr>
        <w:t>- scientific publications and/or original works related to the required professional figure;</w:t>
      </w:r>
    </w:p>
    <w:p w:rsidR="00B479D2" w:rsidRPr="00B479D2" w:rsidRDefault="00B479D2" w:rsidP="00B479D2">
      <w:pPr>
        <w:pStyle w:val="NormaleWeb"/>
        <w:rPr>
          <w:rFonts w:ascii="ArialMT" w:hAnsi="ArialMT"/>
          <w:sz w:val="20"/>
          <w:szCs w:val="20"/>
          <w:lang w:val="en-US"/>
        </w:rPr>
      </w:pPr>
      <w:r w:rsidRPr="00B479D2">
        <w:rPr>
          <w:rFonts w:ascii="ArialMT" w:hAnsi="ArialMT"/>
          <w:sz w:val="20"/>
          <w:szCs w:val="20"/>
          <w:lang w:val="en-US"/>
        </w:rPr>
        <w:t>- consulting activities at PP.AA. relevant the required role;</w:t>
      </w:r>
    </w:p>
    <w:p w:rsidR="00B479D2" w:rsidRPr="00B479D2" w:rsidRDefault="00B479D2" w:rsidP="00B479D2">
      <w:pPr>
        <w:pStyle w:val="NormaleWeb"/>
        <w:rPr>
          <w:rFonts w:ascii="ArialMT" w:hAnsi="ArialMT"/>
          <w:sz w:val="20"/>
          <w:szCs w:val="20"/>
          <w:lang w:val="en-US"/>
        </w:rPr>
      </w:pPr>
      <w:r w:rsidRPr="00B479D2">
        <w:rPr>
          <w:rFonts w:ascii="ArialMT" w:hAnsi="ArialMT"/>
          <w:sz w:val="20"/>
          <w:szCs w:val="20"/>
          <w:lang w:val="en-US"/>
        </w:rPr>
        <w:t>- free/professional activity related to the professional profile required.</w:t>
      </w:r>
    </w:p>
    <w:p w:rsidR="00B76447" w:rsidRPr="00B479D2" w:rsidRDefault="00B76447" w:rsidP="00B76447">
      <w:pPr>
        <w:pStyle w:val="NormaleWeb"/>
        <w:rPr>
          <w:lang w:val="en-US"/>
        </w:rPr>
      </w:pPr>
      <w:r w:rsidRPr="00B479D2">
        <w:rPr>
          <w:rFonts w:ascii="Arial" w:hAnsi="Arial" w:cs="Arial"/>
          <w:b/>
          <w:bCs/>
          <w:sz w:val="20"/>
          <w:szCs w:val="20"/>
          <w:lang w:val="en-US"/>
        </w:rPr>
        <w:t>Art. 9- Commission</w:t>
      </w:r>
      <w:r w:rsidRPr="00B479D2">
        <w:rPr>
          <w:rFonts w:ascii="Arial" w:hAnsi="Arial" w:cs="Arial"/>
          <w:i/>
          <w:iCs/>
          <w:sz w:val="20"/>
          <w:szCs w:val="20"/>
          <w:lang w:val="en-US"/>
        </w:rPr>
        <w:t xml:space="preserve">. </w:t>
      </w:r>
    </w:p>
    <w:p w:rsidR="00B479D2" w:rsidRPr="00B479D2" w:rsidRDefault="00B479D2" w:rsidP="00B76447">
      <w:pPr>
        <w:pStyle w:val="NormaleWeb"/>
        <w:rPr>
          <w:rFonts w:ascii="ArialMT" w:hAnsi="ArialMT"/>
          <w:sz w:val="20"/>
          <w:szCs w:val="20"/>
          <w:lang w:val="en-US"/>
        </w:rPr>
      </w:pPr>
      <w:r w:rsidRPr="00B479D2">
        <w:rPr>
          <w:rFonts w:ascii="ArialMT" w:hAnsi="ArialMT"/>
          <w:sz w:val="20"/>
          <w:szCs w:val="20"/>
          <w:lang w:val="en-US"/>
        </w:rPr>
        <w:t>The Commission is appointed by the Director General of the University, after consult</w:t>
      </w:r>
      <w:r>
        <w:rPr>
          <w:rFonts w:ascii="ArialMT" w:hAnsi="ArialMT"/>
          <w:sz w:val="20"/>
          <w:szCs w:val="20"/>
          <w:lang w:val="en-US"/>
        </w:rPr>
        <w:t>ation with</w:t>
      </w:r>
      <w:r w:rsidRPr="00B479D2">
        <w:rPr>
          <w:rFonts w:ascii="ArialMT" w:hAnsi="ArialMT"/>
          <w:sz w:val="20"/>
          <w:szCs w:val="20"/>
          <w:lang w:val="en-US"/>
        </w:rPr>
        <w:t xml:space="preserve"> the Department Director, and is composed of experts in the subjects covered by the </w:t>
      </w:r>
      <w:r w:rsidR="00874EEF">
        <w:rPr>
          <w:rFonts w:ascii="ArialMT" w:hAnsi="ArialMT"/>
          <w:sz w:val="20"/>
          <w:szCs w:val="20"/>
          <w:lang w:val="en-US"/>
        </w:rPr>
        <w:t>exams</w:t>
      </w:r>
      <w:r w:rsidRPr="00B479D2">
        <w:rPr>
          <w:rFonts w:ascii="ArialMT" w:hAnsi="ArialMT"/>
          <w:sz w:val="20"/>
          <w:szCs w:val="20"/>
          <w:lang w:val="en-US"/>
        </w:rPr>
        <w:t xml:space="preserve"> and a recording secretary, at least of category C, chosen among the employees of the Administration, unrelated to the Department concerned, or employees of other public administrations.</w:t>
      </w:r>
    </w:p>
    <w:p w:rsidR="00B479D2" w:rsidRPr="00B479D2" w:rsidRDefault="00B479D2" w:rsidP="00B76447">
      <w:pPr>
        <w:pStyle w:val="NormaleWeb"/>
        <w:rPr>
          <w:rFonts w:ascii="ArialMT" w:hAnsi="ArialMT"/>
          <w:sz w:val="20"/>
          <w:szCs w:val="20"/>
          <w:lang w:val="en-US"/>
        </w:rPr>
      </w:pPr>
    </w:p>
    <w:p w:rsidR="00874EEF" w:rsidRPr="00874EEF" w:rsidRDefault="00874EEF" w:rsidP="00874EEF">
      <w:pPr>
        <w:pStyle w:val="NormaleWeb"/>
        <w:rPr>
          <w:rFonts w:ascii="ArialMT" w:hAnsi="ArialMT"/>
          <w:sz w:val="20"/>
          <w:szCs w:val="20"/>
          <w:lang w:val="en-US"/>
        </w:rPr>
      </w:pPr>
      <w:r w:rsidRPr="00874EEF">
        <w:rPr>
          <w:rFonts w:ascii="ArialMT" w:hAnsi="ArialMT"/>
          <w:sz w:val="20"/>
          <w:szCs w:val="20"/>
          <w:lang w:val="en-US"/>
        </w:rPr>
        <w:lastRenderedPageBreak/>
        <w:t xml:space="preserve">Members of the University's Board of Directors and those who hold political office or who are union representatives or department directors cannot be part of </w:t>
      </w:r>
      <w:r w:rsidR="00D21570">
        <w:rPr>
          <w:rFonts w:ascii="ArialMT" w:hAnsi="ArialMT"/>
          <w:sz w:val="20"/>
          <w:szCs w:val="20"/>
          <w:lang w:val="en-US"/>
        </w:rPr>
        <w:t>the commission</w:t>
      </w:r>
      <w:r w:rsidRPr="00874EEF">
        <w:rPr>
          <w:rFonts w:ascii="ArialMT" w:hAnsi="ArialMT"/>
          <w:sz w:val="20"/>
          <w:szCs w:val="20"/>
          <w:lang w:val="en-US"/>
        </w:rPr>
        <w:t>.</w:t>
      </w:r>
    </w:p>
    <w:p w:rsidR="00D21570" w:rsidRPr="00187F1D" w:rsidRDefault="00874EEF" w:rsidP="00D21570">
      <w:pPr>
        <w:pStyle w:val="NormaleWeb"/>
        <w:rPr>
          <w:rFonts w:ascii="ArialMT" w:hAnsi="ArialMT"/>
          <w:sz w:val="20"/>
          <w:szCs w:val="20"/>
          <w:lang w:val="en-US"/>
        </w:rPr>
      </w:pPr>
      <w:r w:rsidRPr="00874EEF">
        <w:rPr>
          <w:rFonts w:ascii="ArialMT" w:hAnsi="ArialMT"/>
          <w:sz w:val="20"/>
          <w:szCs w:val="20"/>
          <w:lang w:val="en-US"/>
        </w:rPr>
        <w:t xml:space="preserve">The Commissions, as above composed, can be joined by experts for the assessment of linguistic and/or computer skills. Of the opinion expressed by the aforementioned experts, the Commissions will </w:t>
      </w:r>
      <w:r w:rsidR="00D21570">
        <w:rPr>
          <w:rFonts w:ascii="ArialMT" w:hAnsi="ArialMT"/>
          <w:sz w:val="20"/>
          <w:szCs w:val="20"/>
          <w:lang w:val="en-US"/>
        </w:rPr>
        <w:t>consider</w:t>
      </w:r>
      <w:r w:rsidRPr="00874EEF">
        <w:rPr>
          <w:rFonts w:ascii="ArialMT" w:hAnsi="ArialMT"/>
          <w:sz w:val="20"/>
          <w:szCs w:val="20"/>
          <w:lang w:val="en-US"/>
        </w:rPr>
        <w:t xml:space="preserve"> the attribution of the score of the oral </w:t>
      </w:r>
      <w:r w:rsidR="00D21570">
        <w:rPr>
          <w:rFonts w:ascii="ArialMT" w:hAnsi="ArialMT"/>
          <w:sz w:val="20"/>
          <w:szCs w:val="20"/>
          <w:lang w:val="en-US"/>
        </w:rPr>
        <w:t>exam</w:t>
      </w:r>
      <w:r w:rsidRPr="00874EEF">
        <w:rPr>
          <w:rFonts w:ascii="ArialMT" w:hAnsi="ArialMT"/>
          <w:sz w:val="20"/>
          <w:szCs w:val="20"/>
          <w:lang w:val="en-US"/>
        </w:rPr>
        <w:t>.</w:t>
      </w:r>
      <w:r w:rsidRPr="00874EEF">
        <w:rPr>
          <w:rFonts w:ascii="ArialMT" w:hAnsi="ArialMT"/>
          <w:sz w:val="20"/>
          <w:szCs w:val="20"/>
          <w:lang w:val="en-US"/>
        </w:rPr>
        <w:br/>
      </w:r>
    </w:p>
    <w:p w:rsidR="00D21570" w:rsidRPr="00D21570" w:rsidRDefault="00D21570" w:rsidP="00D21570">
      <w:pPr>
        <w:pStyle w:val="NormaleWeb"/>
        <w:rPr>
          <w:rFonts w:ascii="ArialMT" w:hAnsi="ArialMT"/>
          <w:sz w:val="20"/>
          <w:szCs w:val="20"/>
          <w:lang w:val="en-US"/>
        </w:rPr>
      </w:pPr>
      <w:r w:rsidRPr="00D21570">
        <w:rPr>
          <w:rFonts w:ascii="ArialMT" w:hAnsi="ArialMT"/>
          <w:sz w:val="20"/>
          <w:szCs w:val="20"/>
          <w:lang w:val="en-US"/>
        </w:rPr>
        <w:t>The Commissions, at the end of the written test and / or of the theoretical and practical content and before the opening for the correction of the papers will evaluate the titles of the candidates present at the aforementioned test.</w:t>
      </w:r>
    </w:p>
    <w:p w:rsidR="00B76447" w:rsidRPr="00D21570" w:rsidRDefault="00D21570" w:rsidP="00D21570">
      <w:pPr>
        <w:pStyle w:val="NormaleWeb"/>
        <w:rPr>
          <w:rFonts w:ascii="ArialMT" w:hAnsi="ArialMT"/>
          <w:sz w:val="20"/>
          <w:szCs w:val="20"/>
          <w:lang w:val="en-US"/>
        </w:rPr>
      </w:pPr>
      <w:r w:rsidRPr="00D21570">
        <w:rPr>
          <w:rFonts w:ascii="ArialMT" w:hAnsi="ArialMT"/>
          <w:sz w:val="20"/>
          <w:szCs w:val="20"/>
          <w:lang w:val="en-US"/>
        </w:rPr>
        <w:t>The results of the evaluation of the qualifications as well as the results of the written and / or theoretical practical content will be published on the Sapienza website.</w:t>
      </w:r>
    </w:p>
    <w:p w:rsidR="004C623C" w:rsidRPr="004C623C" w:rsidRDefault="004C623C" w:rsidP="004C623C">
      <w:pPr>
        <w:pStyle w:val="NormaleWeb"/>
        <w:rPr>
          <w:rFonts w:ascii="ArialMT" w:hAnsi="ArialMT"/>
          <w:sz w:val="20"/>
          <w:szCs w:val="20"/>
          <w:lang w:val="en-US"/>
        </w:rPr>
      </w:pPr>
      <w:r w:rsidRPr="004C623C">
        <w:rPr>
          <w:rFonts w:ascii="ArialMT" w:hAnsi="ArialMT"/>
          <w:sz w:val="20"/>
          <w:szCs w:val="20"/>
          <w:lang w:val="en-US"/>
        </w:rPr>
        <w:t xml:space="preserve">The Commissions, at the end of the written </w:t>
      </w:r>
      <w:r>
        <w:rPr>
          <w:rFonts w:ascii="ArialMT" w:hAnsi="ArialMT"/>
          <w:sz w:val="20"/>
          <w:szCs w:val="20"/>
          <w:lang w:val="en-US"/>
        </w:rPr>
        <w:t>exam</w:t>
      </w:r>
      <w:r w:rsidRPr="004C623C">
        <w:rPr>
          <w:rFonts w:ascii="ArialMT" w:hAnsi="ArialMT"/>
          <w:sz w:val="20"/>
          <w:szCs w:val="20"/>
          <w:lang w:val="en-US"/>
        </w:rPr>
        <w:t xml:space="preserve"> and/or of the theoretical and practical content and before the opening for the correction of the papers will evaluate the titles of the candidates present at the aforementioned test.</w:t>
      </w:r>
    </w:p>
    <w:p w:rsidR="004C623C" w:rsidRPr="004C623C" w:rsidRDefault="004C623C" w:rsidP="004C623C">
      <w:pPr>
        <w:pStyle w:val="NormaleWeb"/>
        <w:rPr>
          <w:rFonts w:ascii="ArialMT" w:hAnsi="ArialMT"/>
          <w:sz w:val="20"/>
          <w:szCs w:val="20"/>
          <w:lang w:val="en-US"/>
        </w:rPr>
      </w:pPr>
      <w:r w:rsidRPr="004C623C">
        <w:rPr>
          <w:rFonts w:ascii="ArialMT" w:hAnsi="ArialMT"/>
          <w:sz w:val="20"/>
          <w:szCs w:val="20"/>
          <w:lang w:val="en-US"/>
        </w:rPr>
        <w:t>The results of the evaluation of the qualifications as well as the results of the written and/or theoretical practical</w:t>
      </w:r>
      <w:r>
        <w:rPr>
          <w:rFonts w:ascii="ArialMT" w:hAnsi="ArialMT"/>
          <w:sz w:val="20"/>
          <w:szCs w:val="20"/>
          <w:lang w:val="en-US"/>
        </w:rPr>
        <w:t xml:space="preserve"> exam</w:t>
      </w:r>
      <w:r w:rsidRPr="004C623C">
        <w:rPr>
          <w:rFonts w:ascii="ArialMT" w:hAnsi="ArialMT"/>
          <w:sz w:val="20"/>
          <w:szCs w:val="20"/>
          <w:lang w:val="en-US"/>
        </w:rPr>
        <w:t xml:space="preserve"> will be published on the Sapienza website.</w:t>
      </w:r>
    </w:p>
    <w:p w:rsidR="00B76447" w:rsidRPr="004C623C" w:rsidRDefault="00B76447" w:rsidP="00B76447">
      <w:pPr>
        <w:pStyle w:val="NormaleWeb"/>
        <w:rPr>
          <w:lang w:val="en-US"/>
        </w:rPr>
      </w:pPr>
      <w:r w:rsidRPr="004C623C">
        <w:rPr>
          <w:rFonts w:ascii="Arial" w:hAnsi="Arial" w:cs="Arial"/>
          <w:b/>
          <w:bCs/>
          <w:sz w:val="20"/>
          <w:szCs w:val="20"/>
          <w:lang w:val="en-US"/>
        </w:rPr>
        <w:t xml:space="preserve">Art. 10- </w:t>
      </w:r>
      <w:r w:rsidR="004C623C" w:rsidRPr="004C623C">
        <w:rPr>
          <w:rFonts w:ascii="Arial" w:hAnsi="Arial" w:cs="Arial"/>
          <w:b/>
          <w:bCs/>
          <w:sz w:val="20"/>
          <w:szCs w:val="20"/>
          <w:lang w:val="en-US"/>
        </w:rPr>
        <w:t>Conclusion of the work</w:t>
      </w:r>
    </w:p>
    <w:p w:rsidR="004C623C" w:rsidRPr="004C623C" w:rsidRDefault="004C623C" w:rsidP="004C623C">
      <w:pPr>
        <w:pStyle w:val="NormaleWeb"/>
        <w:rPr>
          <w:rFonts w:ascii="ArialMT" w:hAnsi="ArialMT"/>
          <w:sz w:val="20"/>
          <w:szCs w:val="20"/>
          <w:lang w:val="en-US"/>
        </w:rPr>
      </w:pPr>
      <w:r w:rsidRPr="004C623C">
        <w:rPr>
          <w:rFonts w:ascii="ArialMT" w:hAnsi="ArialMT"/>
          <w:sz w:val="20"/>
          <w:szCs w:val="20"/>
          <w:lang w:val="en-US"/>
        </w:rPr>
        <w:t>The Commissions will have to complete the work within three months from the date of the settlement which refers to the preliminary session.</w:t>
      </w:r>
    </w:p>
    <w:p w:rsidR="00B76447" w:rsidRPr="00235668" w:rsidRDefault="004C623C" w:rsidP="004C623C">
      <w:pPr>
        <w:pStyle w:val="NormaleWeb"/>
        <w:rPr>
          <w:rFonts w:ascii="ArialMT" w:hAnsi="ArialMT"/>
          <w:sz w:val="20"/>
          <w:szCs w:val="20"/>
          <w:lang w:val="en-US"/>
        </w:rPr>
      </w:pPr>
      <w:r w:rsidRPr="004C623C">
        <w:rPr>
          <w:rFonts w:ascii="ArialMT" w:hAnsi="ArialMT"/>
          <w:sz w:val="20"/>
          <w:szCs w:val="20"/>
          <w:lang w:val="en-US"/>
        </w:rPr>
        <w:t xml:space="preserve">If the works are not completed within the aforementioned term, the General Manager may grant an extension, </w:t>
      </w:r>
      <w:r>
        <w:rPr>
          <w:rFonts w:ascii="ArialMT" w:hAnsi="ArialMT"/>
          <w:sz w:val="20"/>
          <w:szCs w:val="20"/>
          <w:lang w:val="en-US"/>
        </w:rPr>
        <w:t>after evaluation of the</w:t>
      </w:r>
      <w:r w:rsidRPr="004C623C">
        <w:rPr>
          <w:rFonts w:ascii="ArialMT" w:hAnsi="ArialMT"/>
          <w:sz w:val="20"/>
          <w:szCs w:val="20"/>
          <w:lang w:val="en-US"/>
        </w:rPr>
        <w:t xml:space="preserve"> reasons for the request by the President of the Commission, or with a motivated provision, </w:t>
      </w:r>
      <w:r w:rsidR="00E56693">
        <w:rPr>
          <w:rFonts w:ascii="ArialMT" w:hAnsi="ArialMT"/>
          <w:sz w:val="20"/>
          <w:szCs w:val="20"/>
          <w:lang w:val="en-US"/>
        </w:rPr>
        <w:t xml:space="preserve">he may </w:t>
      </w:r>
      <w:r w:rsidRPr="004C623C">
        <w:rPr>
          <w:rFonts w:ascii="ArialMT" w:hAnsi="ArialMT"/>
          <w:sz w:val="20"/>
          <w:szCs w:val="20"/>
          <w:lang w:val="en-US"/>
        </w:rPr>
        <w:t>start the procedures for the replacement of the components that are attributable to the causes of the delay , establishing at the same time a new reasonable term, for the conclusion of the works.</w:t>
      </w:r>
    </w:p>
    <w:p w:rsidR="00235668" w:rsidRPr="00235668" w:rsidRDefault="00235668" w:rsidP="00235668">
      <w:pPr>
        <w:pStyle w:val="NormaleWeb"/>
        <w:rPr>
          <w:rFonts w:ascii="ArialMT" w:hAnsi="ArialMT"/>
          <w:sz w:val="20"/>
          <w:szCs w:val="20"/>
          <w:lang w:val="en-US"/>
        </w:rPr>
      </w:pPr>
      <w:r w:rsidRPr="00235668">
        <w:rPr>
          <w:rFonts w:ascii="ArialMT" w:hAnsi="ArialMT"/>
          <w:sz w:val="20"/>
          <w:szCs w:val="20"/>
          <w:lang w:val="en-US"/>
        </w:rPr>
        <w:t>The final merit ranking,</w:t>
      </w:r>
      <w:r w:rsidR="00744FCD">
        <w:rPr>
          <w:rFonts w:ascii="ArialMT" w:hAnsi="ArialMT"/>
          <w:sz w:val="20"/>
          <w:szCs w:val="20"/>
          <w:lang w:val="en-US"/>
        </w:rPr>
        <w:t xml:space="preserve"> made</w:t>
      </w:r>
      <w:r w:rsidRPr="00235668">
        <w:rPr>
          <w:rFonts w:ascii="ArialMT" w:hAnsi="ArialMT"/>
          <w:sz w:val="20"/>
          <w:szCs w:val="20"/>
          <w:lang w:val="en-US"/>
        </w:rPr>
        <w:t xml:space="preserve"> by the Examining Commission, is approved by the General Manager, after verification of the competition records by the TAB and CEL Personnel Competition Sector, and published on the University website itself.</w:t>
      </w:r>
    </w:p>
    <w:p w:rsidR="00744FCD" w:rsidRDefault="00235668" w:rsidP="00235668">
      <w:pPr>
        <w:pStyle w:val="NormaleWeb"/>
        <w:rPr>
          <w:rFonts w:ascii="ArialMT" w:hAnsi="ArialMT"/>
          <w:sz w:val="20"/>
          <w:szCs w:val="20"/>
          <w:lang w:val="en-US"/>
        </w:rPr>
      </w:pPr>
      <w:r w:rsidRPr="00235668">
        <w:rPr>
          <w:rFonts w:ascii="ArialMT" w:hAnsi="ArialMT"/>
          <w:sz w:val="20"/>
          <w:szCs w:val="20"/>
          <w:lang w:val="en-US"/>
        </w:rPr>
        <w:t xml:space="preserve">In case of equal merit in the sum of the points obtained in the </w:t>
      </w:r>
      <w:r w:rsidR="00744FCD">
        <w:rPr>
          <w:rFonts w:ascii="ArialMT" w:hAnsi="ArialMT"/>
          <w:sz w:val="20"/>
          <w:szCs w:val="20"/>
          <w:lang w:val="en-US"/>
        </w:rPr>
        <w:t xml:space="preserve">exams </w:t>
      </w:r>
      <w:r w:rsidRPr="00235668">
        <w:rPr>
          <w:rFonts w:ascii="ArialMT" w:hAnsi="ArialMT"/>
          <w:sz w:val="20"/>
          <w:szCs w:val="20"/>
          <w:lang w:val="en-US"/>
        </w:rPr>
        <w:t>and in the evaluation of the qualifications, the winner will be determined by the preference titles provided for by the art. 5 paragraph 4 of the aforementioned Presidential Decree 487/94 subsequent amendments and additions.</w:t>
      </w:r>
    </w:p>
    <w:p w:rsidR="00744FCD" w:rsidRPr="00744FCD" w:rsidRDefault="00744FCD" w:rsidP="00744FCD">
      <w:pPr>
        <w:pStyle w:val="NormaleWeb"/>
        <w:rPr>
          <w:rFonts w:ascii="ArialMT" w:hAnsi="ArialMT"/>
          <w:sz w:val="20"/>
          <w:szCs w:val="20"/>
          <w:lang w:val="en-US"/>
        </w:rPr>
      </w:pPr>
      <w:r w:rsidRPr="00744FCD">
        <w:rPr>
          <w:rFonts w:ascii="ArialMT" w:hAnsi="ArialMT"/>
          <w:sz w:val="20"/>
          <w:szCs w:val="20"/>
          <w:lang w:val="en-US"/>
        </w:rPr>
        <w:t>In case of further parity, the younger candidate will be preferred according to Law 127/1997 and subsequent amendments.</w:t>
      </w:r>
    </w:p>
    <w:p w:rsidR="00744FCD" w:rsidRPr="00744FCD" w:rsidRDefault="00744FCD" w:rsidP="00744FCD">
      <w:pPr>
        <w:pStyle w:val="NormaleWeb"/>
        <w:rPr>
          <w:rFonts w:ascii="ArialMT" w:hAnsi="ArialMT"/>
          <w:sz w:val="20"/>
          <w:szCs w:val="20"/>
          <w:lang w:val="en-US"/>
        </w:rPr>
      </w:pPr>
      <w:r w:rsidRPr="00744FCD">
        <w:rPr>
          <w:rFonts w:ascii="ArialMT" w:hAnsi="ArialMT"/>
          <w:sz w:val="20"/>
          <w:szCs w:val="20"/>
          <w:lang w:val="en-US"/>
        </w:rPr>
        <w:t xml:space="preserve">From the date of publication of the final ranking on the website of the University, </w:t>
      </w:r>
      <w:r>
        <w:rPr>
          <w:rFonts w:ascii="ArialMT" w:hAnsi="ArialMT"/>
          <w:sz w:val="20"/>
          <w:szCs w:val="20"/>
          <w:lang w:val="en-US"/>
        </w:rPr>
        <w:t>states the beginning</w:t>
      </w:r>
      <w:r w:rsidRPr="00744FCD">
        <w:rPr>
          <w:rFonts w:ascii="ArialMT" w:hAnsi="ArialMT"/>
          <w:sz w:val="20"/>
          <w:szCs w:val="20"/>
          <w:lang w:val="en-US"/>
        </w:rPr>
        <w:t xml:space="preserve"> for any appeal starts.</w:t>
      </w:r>
    </w:p>
    <w:p w:rsidR="00B76447" w:rsidRPr="00744FCD" w:rsidRDefault="00B76447" w:rsidP="00744FCD">
      <w:pPr>
        <w:pStyle w:val="NormaleWeb"/>
        <w:rPr>
          <w:lang w:val="en-US"/>
        </w:rPr>
      </w:pPr>
      <w:r w:rsidRPr="00744FCD">
        <w:rPr>
          <w:rFonts w:ascii="Arial" w:hAnsi="Arial" w:cs="Arial"/>
          <w:b/>
          <w:bCs/>
          <w:sz w:val="20"/>
          <w:szCs w:val="20"/>
          <w:lang w:val="en-US"/>
        </w:rPr>
        <w:t xml:space="preserve">Art. 11- </w:t>
      </w:r>
      <w:r w:rsidR="00744FCD" w:rsidRPr="00744FCD">
        <w:rPr>
          <w:rFonts w:ascii="Arial" w:hAnsi="Arial" w:cs="Arial"/>
          <w:b/>
          <w:bCs/>
          <w:sz w:val="20"/>
          <w:szCs w:val="20"/>
          <w:lang w:val="en-US"/>
        </w:rPr>
        <w:t>Contract Stipulation</w:t>
      </w:r>
      <w:r w:rsidRPr="00744FCD">
        <w:rPr>
          <w:rFonts w:ascii="Arial" w:hAnsi="Arial" w:cs="Arial"/>
          <w:b/>
          <w:bCs/>
          <w:sz w:val="20"/>
          <w:szCs w:val="20"/>
          <w:lang w:val="en-US"/>
        </w:rPr>
        <w:t xml:space="preserve"> </w:t>
      </w:r>
    </w:p>
    <w:p w:rsidR="00744FCD" w:rsidRPr="00744FCD" w:rsidRDefault="00744FCD" w:rsidP="00B76447">
      <w:pPr>
        <w:pStyle w:val="NormaleWeb"/>
        <w:rPr>
          <w:rFonts w:ascii="ArialMT" w:hAnsi="ArialMT"/>
          <w:sz w:val="20"/>
          <w:szCs w:val="20"/>
          <w:lang w:val="en-US"/>
        </w:rPr>
      </w:pPr>
      <w:r w:rsidRPr="00744FCD">
        <w:rPr>
          <w:rFonts w:ascii="ArialMT" w:hAnsi="ArialMT"/>
          <w:sz w:val="20"/>
          <w:szCs w:val="20"/>
          <w:lang w:val="en-US"/>
        </w:rPr>
        <w:t>Candidates placed in the ranking will be entered into a temporary private-law employment contract, with a full-time or part-time work regime, governed by the relevant provisions in force, including what concerns the tax, welfare and social security provisions envisaged for compensation of employees. The expected economic treatment due to the recipients of the aforementioned contracts, is established by a minimum amount related to the economic treatment linked to the reference contractual category put into competition. The aforementioned contract is regulated, as far as the rights and duties are concerned, according to the principles established by the CCNL Compartments University.</w:t>
      </w:r>
    </w:p>
    <w:p w:rsidR="00744FCD" w:rsidRPr="00744FCD" w:rsidRDefault="00744FCD" w:rsidP="00744FCD">
      <w:pPr>
        <w:pStyle w:val="NormaleWeb"/>
        <w:rPr>
          <w:rFonts w:ascii="ArialMT" w:hAnsi="ArialMT"/>
          <w:sz w:val="20"/>
          <w:szCs w:val="20"/>
          <w:lang w:val="en-US"/>
        </w:rPr>
      </w:pPr>
      <w:r w:rsidRPr="00744FCD">
        <w:rPr>
          <w:rFonts w:ascii="ArialMT" w:hAnsi="ArialMT"/>
          <w:sz w:val="20"/>
          <w:szCs w:val="20"/>
          <w:lang w:val="en-US"/>
        </w:rPr>
        <w:lastRenderedPageBreak/>
        <w:t>The contracts referred to in this article do not give rise to rights regarding access to the roles of the teaching or technical-administrative staff of this University.</w:t>
      </w:r>
    </w:p>
    <w:p w:rsidR="00744FCD" w:rsidRPr="00744FCD" w:rsidRDefault="00744FCD" w:rsidP="00744FCD">
      <w:pPr>
        <w:pStyle w:val="NormaleWeb"/>
        <w:rPr>
          <w:rFonts w:ascii="ArialMT" w:hAnsi="ArialMT"/>
          <w:sz w:val="20"/>
          <w:szCs w:val="20"/>
          <w:lang w:val="en-US"/>
        </w:rPr>
      </w:pPr>
      <w:r w:rsidRPr="00744FCD">
        <w:rPr>
          <w:rFonts w:ascii="ArialMT" w:hAnsi="ArialMT"/>
          <w:sz w:val="20"/>
          <w:szCs w:val="20"/>
          <w:lang w:val="en-US"/>
        </w:rPr>
        <w:t>The temporary employment contract entered into with the technologist, signed by the General Manager, must contain the following information:</w:t>
      </w:r>
    </w:p>
    <w:p w:rsidR="00744FCD" w:rsidRDefault="00744FCD" w:rsidP="00744FCD">
      <w:pPr>
        <w:pStyle w:val="NormaleWeb"/>
        <w:rPr>
          <w:rFonts w:ascii="ArialMT" w:hAnsi="ArialMT"/>
          <w:sz w:val="20"/>
          <w:szCs w:val="20"/>
          <w:lang w:val="en-US"/>
        </w:rPr>
      </w:pPr>
      <w:r w:rsidRPr="00744FCD">
        <w:rPr>
          <w:rFonts w:ascii="ArialMT" w:hAnsi="ArialMT"/>
          <w:sz w:val="20"/>
          <w:szCs w:val="20"/>
          <w:lang w:val="en-US"/>
        </w:rPr>
        <w:t>- date of beginning and final term of the employment relationship;</w:t>
      </w:r>
    </w:p>
    <w:p w:rsidR="00744FCD" w:rsidRPr="00744FCD" w:rsidRDefault="00744FCD" w:rsidP="00744FCD">
      <w:pPr>
        <w:pStyle w:val="NormaleWeb"/>
        <w:rPr>
          <w:rFonts w:ascii="ArialMT" w:hAnsi="ArialMT"/>
          <w:sz w:val="20"/>
          <w:szCs w:val="20"/>
          <w:lang w:val="en-US"/>
        </w:rPr>
      </w:pPr>
      <w:r w:rsidRPr="00744FCD">
        <w:rPr>
          <w:rFonts w:ascii="ArialMT" w:hAnsi="ArialMT"/>
          <w:sz w:val="20"/>
          <w:szCs w:val="20"/>
          <w:lang w:val="en-US"/>
        </w:rPr>
        <w:t xml:space="preserve">- economic treatment table </w:t>
      </w:r>
      <w:proofErr w:type="spellStart"/>
      <w:r w:rsidRPr="00744FCD">
        <w:rPr>
          <w:rFonts w:ascii="ArialMT" w:hAnsi="ArialMT"/>
          <w:sz w:val="20"/>
          <w:szCs w:val="20"/>
          <w:lang w:val="en-US"/>
        </w:rPr>
        <w:t>a.l</w:t>
      </w:r>
      <w:proofErr w:type="spellEnd"/>
      <w:r w:rsidRPr="00744FCD">
        <w:rPr>
          <w:rFonts w:ascii="ArialMT" w:hAnsi="ArialMT"/>
          <w:sz w:val="20"/>
          <w:szCs w:val="20"/>
          <w:lang w:val="en-US"/>
        </w:rPr>
        <w:t>. of the category and of the economic position of reference put in competition, of which to the CCNL of the University Section;</w:t>
      </w:r>
    </w:p>
    <w:p w:rsidR="00744FCD" w:rsidRPr="00744FCD" w:rsidRDefault="00744FCD" w:rsidP="00744FCD">
      <w:pPr>
        <w:pStyle w:val="NormaleWeb"/>
        <w:rPr>
          <w:rFonts w:ascii="ArialMT" w:hAnsi="ArialMT"/>
          <w:sz w:val="20"/>
          <w:szCs w:val="20"/>
          <w:lang w:val="en-US"/>
        </w:rPr>
      </w:pPr>
      <w:r w:rsidRPr="00744FCD">
        <w:rPr>
          <w:rFonts w:ascii="ArialMT" w:hAnsi="ArialMT"/>
          <w:sz w:val="20"/>
          <w:szCs w:val="20"/>
          <w:lang w:val="en-US"/>
        </w:rPr>
        <w:t>- membership structure;</w:t>
      </w:r>
    </w:p>
    <w:p w:rsidR="00744FCD" w:rsidRPr="00744FCD" w:rsidRDefault="00744FCD" w:rsidP="00744FCD">
      <w:pPr>
        <w:pStyle w:val="NormaleWeb"/>
        <w:rPr>
          <w:rFonts w:ascii="ArialMT" w:hAnsi="ArialMT"/>
          <w:sz w:val="20"/>
          <w:szCs w:val="20"/>
          <w:lang w:val="en-US"/>
        </w:rPr>
      </w:pPr>
      <w:r w:rsidRPr="00744FCD">
        <w:rPr>
          <w:rFonts w:ascii="ArialMT" w:hAnsi="ArialMT"/>
          <w:sz w:val="20"/>
          <w:szCs w:val="20"/>
          <w:lang w:val="en-US"/>
        </w:rPr>
        <w:t>- the scientific sector of reference;</w:t>
      </w:r>
    </w:p>
    <w:p w:rsidR="00744FCD" w:rsidRDefault="00744FCD" w:rsidP="00744FCD">
      <w:pPr>
        <w:pStyle w:val="NormaleWeb"/>
        <w:rPr>
          <w:rFonts w:ascii="ArialMT" w:hAnsi="ArialMT"/>
          <w:sz w:val="20"/>
          <w:szCs w:val="20"/>
          <w:lang w:val="en-US"/>
        </w:rPr>
      </w:pPr>
      <w:r w:rsidRPr="00744FCD">
        <w:rPr>
          <w:rFonts w:ascii="ArialMT" w:hAnsi="ArialMT"/>
          <w:sz w:val="20"/>
          <w:szCs w:val="20"/>
          <w:lang w:val="en-US"/>
        </w:rPr>
        <w:t xml:space="preserve">The Department will have to forward a copy of the mandate to transfer the funds to the University budget; as well as a communication of service taken by the winner to the TAB and CEL Personnel Competition Sector. It is the Human Resources Department's responsibility to provide the mandatory recruitment notice of the Technologist on the "Sapienza </w:t>
      </w:r>
      <w:proofErr w:type="spellStart"/>
      <w:r w:rsidRPr="00744FCD">
        <w:rPr>
          <w:rFonts w:ascii="ArialMT" w:hAnsi="ArialMT"/>
          <w:sz w:val="20"/>
          <w:szCs w:val="20"/>
          <w:lang w:val="en-US"/>
        </w:rPr>
        <w:t>adempimenti</w:t>
      </w:r>
      <w:proofErr w:type="spellEnd"/>
      <w:r w:rsidRPr="00744FCD">
        <w:rPr>
          <w:rFonts w:ascii="ArialMT" w:hAnsi="ArialMT"/>
          <w:sz w:val="20"/>
          <w:szCs w:val="20"/>
          <w:lang w:val="en-US"/>
        </w:rPr>
        <w:t xml:space="preserve"> online (Online fulfillment services) site (SAOL) within the set deadlines.</w:t>
      </w:r>
    </w:p>
    <w:p w:rsidR="00B76447" w:rsidRPr="00744FCD" w:rsidRDefault="00B76447" w:rsidP="00744FCD">
      <w:pPr>
        <w:pStyle w:val="NormaleWeb"/>
        <w:rPr>
          <w:lang w:val="en-US"/>
        </w:rPr>
      </w:pPr>
      <w:r w:rsidRPr="00744FCD">
        <w:rPr>
          <w:rFonts w:ascii="Arial" w:hAnsi="Arial" w:cs="Arial"/>
          <w:b/>
          <w:bCs/>
          <w:sz w:val="20"/>
          <w:szCs w:val="20"/>
          <w:lang w:val="en-US"/>
        </w:rPr>
        <w:t>Art. 12 – Incompatibilit</w:t>
      </w:r>
      <w:r w:rsidR="00744FCD">
        <w:rPr>
          <w:rFonts w:ascii="Arial" w:hAnsi="Arial" w:cs="Arial"/>
          <w:b/>
          <w:bCs/>
          <w:sz w:val="20"/>
          <w:szCs w:val="20"/>
          <w:lang w:val="en-US"/>
        </w:rPr>
        <w:t>y</w:t>
      </w:r>
    </w:p>
    <w:p w:rsidR="00744FCD" w:rsidRPr="00744FCD" w:rsidRDefault="00744FCD" w:rsidP="00B76447">
      <w:pPr>
        <w:pStyle w:val="NormaleWeb"/>
        <w:rPr>
          <w:rFonts w:ascii="ArialMT" w:hAnsi="ArialMT"/>
          <w:sz w:val="20"/>
          <w:szCs w:val="20"/>
          <w:lang w:val="en-US"/>
        </w:rPr>
      </w:pPr>
      <w:r w:rsidRPr="00744FCD">
        <w:rPr>
          <w:rFonts w:ascii="ArialMT" w:hAnsi="ArialMT"/>
          <w:sz w:val="20"/>
          <w:szCs w:val="20"/>
          <w:lang w:val="en-US"/>
        </w:rPr>
        <w:t>The contract referred to in this Regulation cannot be combined with similar contracts, not even in other universities or with private scientific structures, nor with the PhD scholarship, nor with post-graduate research grants or scholarships. The position of the fixed-term technologist is incompatible with the exercise of commerce and industry. The exercise of professional activity is incompatible with the full-time regime.</w:t>
      </w:r>
    </w:p>
    <w:p w:rsidR="00744FCD" w:rsidRPr="00187F1D" w:rsidRDefault="00B76447" w:rsidP="00B76447">
      <w:pPr>
        <w:pStyle w:val="NormaleWeb"/>
        <w:rPr>
          <w:rFonts w:ascii="Arial" w:hAnsi="Arial" w:cs="Arial"/>
          <w:b/>
          <w:bCs/>
          <w:sz w:val="20"/>
          <w:szCs w:val="20"/>
          <w:lang w:val="en-US"/>
        </w:rPr>
      </w:pPr>
      <w:r w:rsidRPr="00187F1D">
        <w:rPr>
          <w:rFonts w:ascii="Arial" w:hAnsi="Arial" w:cs="Arial"/>
          <w:b/>
          <w:bCs/>
          <w:sz w:val="20"/>
          <w:szCs w:val="20"/>
          <w:lang w:val="en-US"/>
        </w:rPr>
        <w:t xml:space="preserve">Art. 13 – </w:t>
      </w:r>
      <w:r w:rsidR="00744FCD" w:rsidRPr="00187F1D">
        <w:rPr>
          <w:rFonts w:ascii="Arial" w:hAnsi="Arial" w:cs="Arial"/>
          <w:b/>
          <w:bCs/>
          <w:sz w:val="20"/>
          <w:szCs w:val="20"/>
          <w:lang w:val="en-US"/>
        </w:rPr>
        <w:t>Responsible for the procedure and processing of personal data</w:t>
      </w:r>
    </w:p>
    <w:p w:rsidR="00F220B0" w:rsidRPr="00F220B0" w:rsidRDefault="00F220B0" w:rsidP="00B76447">
      <w:pPr>
        <w:pStyle w:val="NormaleWeb"/>
        <w:rPr>
          <w:rFonts w:ascii="ArialMT" w:hAnsi="ArialMT"/>
          <w:sz w:val="20"/>
          <w:szCs w:val="20"/>
          <w:lang w:val="en-US"/>
        </w:rPr>
      </w:pPr>
      <w:r w:rsidRPr="00F220B0">
        <w:rPr>
          <w:rFonts w:ascii="ArialMT" w:hAnsi="ArialMT"/>
          <w:sz w:val="20"/>
          <w:szCs w:val="20"/>
          <w:lang w:val="en-US"/>
        </w:rPr>
        <w:t>The Director of the Human Resources Area identifies a person in charge of the procedure pursuant to Law 241/90 and of the personal data provided by the candidates through the participation requests, pursuant to Law 196/2003 "Code regarding the protection of personal data" and in particular for the processing of sensitive and judicial data that will be processed for the purpose of managing the selection procedure and the possible stipulation and management of the employment contract.</w:t>
      </w:r>
    </w:p>
    <w:p w:rsidR="00B76447" w:rsidRPr="00F220B0" w:rsidRDefault="00B76447" w:rsidP="00B76447">
      <w:pPr>
        <w:pStyle w:val="NormaleWeb"/>
        <w:rPr>
          <w:lang w:val="en-US"/>
        </w:rPr>
      </w:pPr>
      <w:r w:rsidRPr="00F220B0">
        <w:rPr>
          <w:rFonts w:ascii="Arial" w:hAnsi="Arial" w:cs="Arial"/>
          <w:b/>
          <w:bCs/>
          <w:sz w:val="20"/>
          <w:szCs w:val="20"/>
          <w:lang w:val="en-US"/>
        </w:rPr>
        <w:t xml:space="preserve">Art. 14 </w:t>
      </w:r>
      <w:r w:rsidR="00F220B0" w:rsidRPr="00F220B0">
        <w:rPr>
          <w:rFonts w:ascii="Arial" w:hAnsi="Arial" w:cs="Arial"/>
          <w:b/>
          <w:bCs/>
          <w:sz w:val="20"/>
          <w:szCs w:val="20"/>
          <w:lang w:val="en-US"/>
        </w:rPr>
        <w:t>– Final Dispositions</w:t>
      </w:r>
      <w:r w:rsidRPr="00F220B0">
        <w:rPr>
          <w:rFonts w:ascii="Arial" w:hAnsi="Arial" w:cs="Arial"/>
          <w:b/>
          <w:bCs/>
          <w:sz w:val="20"/>
          <w:szCs w:val="20"/>
          <w:lang w:val="en-US"/>
        </w:rPr>
        <w:t xml:space="preserve"> </w:t>
      </w:r>
    </w:p>
    <w:p w:rsidR="00F220B0" w:rsidRDefault="00F220B0" w:rsidP="00B76447">
      <w:pPr>
        <w:pStyle w:val="NormaleWeb"/>
        <w:rPr>
          <w:rFonts w:ascii="ArialMT" w:hAnsi="ArialMT"/>
          <w:sz w:val="20"/>
          <w:szCs w:val="20"/>
          <w:lang w:val="en-US"/>
        </w:rPr>
      </w:pPr>
      <w:r w:rsidRPr="00F220B0">
        <w:rPr>
          <w:rFonts w:ascii="ArialMT" w:hAnsi="ArialMT"/>
          <w:sz w:val="20"/>
          <w:szCs w:val="20"/>
          <w:lang w:val="en-US"/>
        </w:rPr>
        <w:t>Although not expressly regulated by these Regulations, apply the current rules on access to employment in public administrations, as well as the rules on the recruitment of personnel contained in the Regulation containing “Provisions on selection procedures for access to employment at permanent employment at the University of Rome "La Sapienza" in the categories of technical and administrative personnel "issued by DD n. 577 of 24.07.2006 and in the C.C.N.L. of the University Fund.</w:t>
      </w:r>
    </w:p>
    <w:p w:rsidR="00920685" w:rsidRPr="00F220B0" w:rsidRDefault="00920685">
      <w:pPr>
        <w:rPr>
          <w:lang w:val="en-US"/>
        </w:rPr>
      </w:pPr>
    </w:p>
    <w:sectPr w:rsidR="00920685" w:rsidRPr="00F220B0" w:rsidSect="009C47CF">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MT">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84E57"/>
    <w:multiLevelType w:val="hybridMultilevel"/>
    <w:tmpl w:val="12500768"/>
    <w:lvl w:ilvl="0" w:tplc="B99669D8">
      <w:numFmt w:val="bullet"/>
      <w:lvlText w:val="•"/>
      <w:lvlJc w:val="left"/>
      <w:pPr>
        <w:ind w:left="1080" w:hanging="360"/>
      </w:pPr>
      <w:rPr>
        <w:rFonts w:ascii="ArialMT" w:eastAsia="Times New Roman" w:hAnsi="ArialMT"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B217CFE"/>
    <w:multiLevelType w:val="multilevel"/>
    <w:tmpl w:val="E6A0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42509"/>
    <w:multiLevelType w:val="multilevel"/>
    <w:tmpl w:val="EB16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9B561B"/>
    <w:multiLevelType w:val="multilevel"/>
    <w:tmpl w:val="EB16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D72E21"/>
    <w:multiLevelType w:val="multilevel"/>
    <w:tmpl w:val="EB16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447"/>
    <w:rsid w:val="000F18AE"/>
    <w:rsid w:val="001656CE"/>
    <w:rsid w:val="00187F1D"/>
    <w:rsid w:val="001D5C7B"/>
    <w:rsid w:val="00235668"/>
    <w:rsid w:val="00264D44"/>
    <w:rsid w:val="00282EC9"/>
    <w:rsid w:val="004C623C"/>
    <w:rsid w:val="0050411D"/>
    <w:rsid w:val="00542013"/>
    <w:rsid w:val="00550CD5"/>
    <w:rsid w:val="00577AAA"/>
    <w:rsid w:val="006B3674"/>
    <w:rsid w:val="00744FCD"/>
    <w:rsid w:val="007D7119"/>
    <w:rsid w:val="0082666E"/>
    <w:rsid w:val="00874EEF"/>
    <w:rsid w:val="0090312B"/>
    <w:rsid w:val="00920685"/>
    <w:rsid w:val="009B33E6"/>
    <w:rsid w:val="009C47CF"/>
    <w:rsid w:val="00B479D2"/>
    <w:rsid w:val="00B559A8"/>
    <w:rsid w:val="00B62E9D"/>
    <w:rsid w:val="00B76447"/>
    <w:rsid w:val="00C647E2"/>
    <w:rsid w:val="00C82ED9"/>
    <w:rsid w:val="00D21570"/>
    <w:rsid w:val="00D674C7"/>
    <w:rsid w:val="00E56693"/>
    <w:rsid w:val="00EB30D6"/>
    <w:rsid w:val="00F220B0"/>
    <w:rsid w:val="00FA38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C9730"/>
  <w15:chartTrackingRefBased/>
  <w15:docId w15:val="{C5E10742-91E7-6A47-B1C0-D34D00BD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B76447"/>
    <w:pPr>
      <w:spacing w:before="100" w:beforeAutospacing="1" w:after="100" w:afterAutospacing="1"/>
    </w:pPr>
    <w:rPr>
      <w:rFonts w:ascii="Times New Roman" w:eastAsia="Times New Roman" w:hAnsi="Times New Roman" w:cs="Times New Roman"/>
      <w:lang w:eastAsia="it-IT"/>
    </w:rPr>
  </w:style>
  <w:style w:type="character" w:customStyle="1" w:styleId="tlid-translation">
    <w:name w:val="tlid-translation"/>
    <w:basedOn w:val="Carpredefinitoparagrafo"/>
    <w:rsid w:val="007D7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180933">
      <w:bodyDiv w:val="1"/>
      <w:marLeft w:val="0"/>
      <w:marRight w:val="0"/>
      <w:marTop w:val="0"/>
      <w:marBottom w:val="0"/>
      <w:divBdr>
        <w:top w:val="none" w:sz="0" w:space="0" w:color="auto"/>
        <w:left w:val="none" w:sz="0" w:space="0" w:color="auto"/>
        <w:bottom w:val="none" w:sz="0" w:space="0" w:color="auto"/>
        <w:right w:val="none" w:sz="0" w:space="0" w:color="auto"/>
      </w:divBdr>
      <w:divsChild>
        <w:div w:id="513417459">
          <w:marLeft w:val="0"/>
          <w:marRight w:val="0"/>
          <w:marTop w:val="0"/>
          <w:marBottom w:val="0"/>
          <w:divBdr>
            <w:top w:val="none" w:sz="0" w:space="0" w:color="auto"/>
            <w:left w:val="none" w:sz="0" w:space="0" w:color="auto"/>
            <w:bottom w:val="none" w:sz="0" w:space="0" w:color="auto"/>
            <w:right w:val="none" w:sz="0" w:space="0" w:color="auto"/>
          </w:divBdr>
          <w:divsChild>
            <w:div w:id="1091126064">
              <w:marLeft w:val="0"/>
              <w:marRight w:val="0"/>
              <w:marTop w:val="0"/>
              <w:marBottom w:val="0"/>
              <w:divBdr>
                <w:top w:val="none" w:sz="0" w:space="0" w:color="auto"/>
                <w:left w:val="none" w:sz="0" w:space="0" w:color="auto"/>
                <w:bottom w:val="none" w:sz="0" w:space="0" w:color="auto"/>
                <w:right w:val="none" w:sz="0" w:space="0" w:color="auto"/>
              </w:divBdr>
              <w:divsChild>
                <w:div w:id="121196237">
                  <w:marLeft w:val="0"/>
                  <w:marRight w:val="0"/>
                  <w:marTop w:val="0"/>
                  <w:marBottom w:val="0"/>
                  <w:divBdr>
                    <w:top w:val="none" w:sz="0" w:space="0" w:color="auto"/>
                    <w:left w:val="none" w:sz="0" w:space="0" w:color="auto"/>
                    <w:bottom w:val="none" w:sz="0" w:space="0" w:color="auto"/>
                    <w:right w:val="none" w:sz="0" w:space="0" w:color="auto"/>
                  </w:divBdr>
                </w:div>
              </w:divsChild>
            </w:div>
            <w:div w:id="301230180">
              <w:marLeft w:val="0"/>
              <w:marRight w:val="0"/>
              <w:marTop w:val="0"/>
              <w:marBottom w:val="0"/>
              <w:divBdr>
                <w:top w:val="none" w:sz="0" w:space="0" w:color="auto"/>
                <w:left w:val="none" w:sz="0" w:space="0" w:color="auto"/>
                <w:bottom w:val="none" w:sz="0" w:space="0" w:color="auto"/>
                <w:right w:val="none" w:sz="0" w:space="0" w:color="auto"/>
              </w:divBdr>
              <w:divsChild>
                <w:div w:id="662004186">
                  <w:marLeft w:val="0"/>
                  <w:marRight w:val="0"/>
                  <w:marTop w:val="0"/>
                  <w:marBottom w:val="0"/>
                  <w:divBdr>
                    <w:top w:val="none" w:sz="0" w:space="0" w:color="auto"/>
                    <w:left w:val="none" w:sz="0" w:space="0" w:color="auto"/>
                    <w:bottom w:val="none" w:sz="0" w:space="0" w:color="auto"/>
                    <w:right w:val="none" w:sz="0" w:space="0" w:color="auto"/>
                  </w:divBdr>
                </w:div>
              </w:divsChild>
            </w:div>
            <w:div w:id="903686424">
              <w:marLeft w:val="0"/>
              <w:marRight w:val="0"/>
              <w:marTop w:val="0"/>
              <w:marBottom w:val="0"/>
              <w:divBdr>
                <w:top w:val="none" w:sz="0" w:space="0" w:color="auto"/>
                <w:left w:val="none" w:sz="0" w:space="0" w:color="auto"/>
                <w:bottom w:val="none" w:sz="0" w:space="0" w:color="auto"/>
                <w:right w:val="none" w:sz="0" w:space="0" w:color="auto"/>
              </w:divBdr>
              <w:divsChild>
                <w:div w:id="194387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84347">
          <w:marLeft w:val="0"/>
          <w:marRight w:val="0"/>
          <w:marTop w:val="0"/>
          <w:marBottom w:val="0"/>
          <w:divBdr>
            <w:top w:val="none" w:sz="0" w:space="0" w:color="auto"/>
            <w:left w:val="none" w:sz="0" w:space="0" w:color="auto"/>
            <w:bottom w:val="none" w:sz="0" w:space="0" w:color="auto"/>
            <w:right w:val="none" w:sz="0" w:space="0" w:color="auto"/>
          </w:divBdr>
          <w:divsChild>
            <w:div w:id="2049992300">
              <w:marLeft w:val="0"/>
              <w:marRight w:val="0"/>
              <w:marTop w:val="0"/>
              <w:marBottom w:val="0"/>
              <w:divBdr>
                <w:top w:val="none" w:sz="0" w:space="0" w:color="auto"/>
                <w:left w:val="none" w:sz="0" w:space="0" w:color="auto"/>
                <w:bottom w:val="none" w:sz="0" w:space="0" w:color="auto"/>
                <w:right w:val="none" w:sz="0" w:space="0" w:color="auto"/>
              </w:divBdr>
              <w:divsChild>
                <w:div w:id="249168082">
                  <w:marLeft w:val="0"/>
                  <w:marRight w:val="0"/>
                  <w:marTop w:val="0"/>
                  <w:marBottom w:val="0"/>
                  <w:divBdr>
                    <w:top w:val="none" w:sz="0" w:space="0" w:color="auto"/>
                    <w:left w:val="none" w:sz="0" w:space="0" w:color="auto"/>
                    <w:bottom w:val="none" w:sz="0" w:space="0" w:color="auto"/>
                    <w:right w:val="none" w:sz="0" w:space="0" w:color="auto"/>
                  </w:divBdr>
                </w:div>
              </w:divsChild>
            </w:div>
            <w:div w:id="1817338140">
              <w:marLeft w:val="0"/>
              <w:marRight w:val="0"/>
              <w:marTop w:val="0"/>
              <w:marBottom w:val="0"/>
              <w:divBdr>
                <w:top w:val="none" w:sz="0" w:space="0" w:color="auto"/>
                <w:left w:val="none" w:sz="0" w:space="0" w:color="auto"/>
                <w:bottom w:val="none" w:sz="0" w:space="0" w:color="auto"/>
                <w:right w:val="none" w:sz="0" w:space="0" w:color="auto"/>
              </w:divBdr>
              <w:divsChild>
                <w:div w:id="13590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8027">
          <w:marLeft w:val="0"/>
          <w:marRight w:val="0"/>
          <w:marTop w:val="0"/>
          <w:marBottom w:val="0"/>
          <w:divBdr>
            <w:top w:val="none" w:sz="0" w:space="0" w:color="auto"/>
            <w:left w:val="none" w:sz="0" w:space="0" w:color="auto"/>
            <w:bottom w:val="none" w:sz="0" w:space="0" w:color="auto"/>
            <w:right w:val="none" w:sz="0" w:space="0" w:color="auto"/>
          </w:divBdr>
          <w:divsChild>
            <w:div w:id="1711494780">
              <w:marLeft w:val="0"/>
              <w:marRight w:val="0"/>
              <w:marTop w:val="0"/>
              <w:marBottom w:val="0"/>
              <w:divBdr>
                <w:top w:val="none" w:sz="0" w:space="0" w:color="auto"/>
                <w:left w:val="none" w:sz="0" w:space="0" w:color="auto"/>
                <w:bottom w:val="none" w:sz="0" w:space="0" w:color="auto"/>
                <w:right w:val="none" w:sz="0" w:space="0" w:color="auto"/>
              </w:divBdr>
              <w:divsChild>
                <w:div w:id="2078937572">
                  <w:marLeft w:val="0"/>
                  <w:marRight w:val="0"/>
                  <w:marTop w:val="0"/>
                  <w:marBottom w:val="0"/>
                  <w:divBdr>
                    <w:top w:val="none" w:sz="0" w:space="0" w:color="auto"/>
                    <w:left w:val="none" w:sz="0" w:space="0" w:color="auto"/>
                    <w:bottom w:val="none" w:sz="0" w:space="0" w:color="auto"/>
                    <w:right w:val="none" w:sz="0" w:space="0" w:color="auto"/>
                  </w:divBdr>
                </w:div>
              </w:divsChild>
            </w:div>
            <w:div w:id="1913545813">
              <w:marLeft w:val="0"/>
              <w:marRight w:val="0"/>
              <w:marTop w:val="0"/>
              <w:marBottom w:val="0"/>
              <w:divBdr>
                <w:top w:val="none" w:sz="0" w:space="0" w:color="auto"/>
                <w:left w:val="none" w:sz="0" w:space="0" w:color="auto"/>
                <w:bottom w:val="none" w:sz="0" w:space="0" w:color="auto"/>
                <w:right w:val="none" w:sz="0" w:space="0" w:color="auto"/>
              </w:divBdr>
              <w:divsChild>
                <w:div w:id="211512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12869">
          <w:marLeft w:val="0"/>
          <w:marRight w:val="0"/>
          <w:marTop w:val="0"/>
          <w:marBottom w:val="0"/>
          <w:divBdr>
            <w:top w:val="none" w:sz="0" w:space="0" w:color="auto"/>
            <w:left w:val="none" w:sz="0" w:space="0" w:color="auto"/>
            <w:bottom w:val="none" w:sz="0" w:space="0" w:color="auto"/>
            <w:right w:val="none" w:sz="0" w:space="0" w:color="auto"/>
          </w:divBdr>
          <w:divsChild>
            <w:div w:id="122190753">
              <w:marLeft w:val="0"/>
              <w:marRight w:val="0"/>
              <w:marTop w:val="0"/>
              <w:marBottom w:val="0"/>
              <w:divBdr>
                <w:top w:val="none" w:sz="0" w:space="0" w:color="auto"/>
                <w:left w:val="none" w:sz="0" w:space="0" w:color="auto"/>
                <w:bottom w:val="none" w:sz="0" w:space="0" w:color="auto"/>
                <w:right w:val="none" w:sz="0" w:space="0" w:color="auto"/>
              </w:divBdr>
              <w:divsChild>
                <w:div w:id="32277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969454">
          <w:marLeft w:val="0"/>
          <w:marRight w:val="0"/>
          <w:marTop w:val="0"/>
          <w:marBottom w:val="0"/>
          <w:divBdr>
            <w:top w:val="none" w:sz="0" w:space="0" w:color="auto"/>
            <w:left w:val="none" w:sz="0" w:space="0" w:color="auto"/>
            <w:bottom w:val="none" w:sz="0" w:space="0" w:color="auto"/>
            <w:right w:val="none" w:sz="0" w:space="0" w:color="auto"/>
          </w:divBdr>
          <w:divsChild>
            <w:div w:id="1164666976">
              <w:marLeft w:val="0"/>
              <w:marRight w:val="0"/>
              <w:marTop w:val="0"/>
              <w:marBottom w:val="0"/>
              <w:divBdr>
                <w:top w:val="none" w:sz="0" w:space="0" w:color="auto"/>
                <w:left w:val="none" w:sz="0" w:space="0" w:color="auto"/>
                <w:bottom w:val="none" w:sz="0" w:space="0" w:color="auto"/>
                <w:right w:val="none" w:sz="0" w:space="0" w:color="auto"/>
              </w:divBdr>
              <w:divsChild>
                <w:div w:id="72680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14118">
          <w:marLeft w:val="0"/>
          <w:marRight w:val="0"/>
          <w:marTop w:val="0"/>
          <w:marBottom w:val="0"/>
          <w:divBdr>
            <w:top w:val="none" w:sz="0" w:space="0" w:color="auto"/>
            <w:left w:val="none" w:sz="0" w:space="0" w:color="auto"/>
            <w:bottom w:val="none" w:sz="0" w:space="0" w:color="auto"/>
            <w:right w:val="none" w:sz="0" w:space="0" w:color="auto"/>
          </w:divBdr>
          <w:divsChild>
            <w:div w:id="1083256417">
              <w:marLeft w:val="0"/>
              <w:marRight w:val="0"/>
              <w:marTop w:val="0"/>
              <w:marBottom w:val="0"/>
              <w:divBdr>
                <w:top w:val="none" w:sz="0" w:space="0" w:color="auto"/>
                <w:left w:val="none" w:sz="0" w:space="0" w:color="auto"/>
                <w:bottom w:val="none" w:sz="0" w:space="0" w:color="auto"/>
                <w:right w:val="none" w:sz="0" w:space="0" w:color="auto"/>
              </w:divBdr>
              <w:divsChild>
                <w:div w:id="75964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5714">
          <w:marLeft w:val="0"/>
          <w:marRight w:val="0"/>
          <w:marTop w:val="0"/>
          <w:marBottom w:val="0"/>
          <w:divBdr>
            <w:top w:val="none" w:sz="0" w:space="0" w:color="auto"/>
            <w:left w:val="none" w:sz="0" w:space="0" w:color="auto"/>
            <w:bottom w:val="none" w:sz="0" w:space="0" w:color="auto"/>
            <w:right w:val="none" w:sz="0" w:space="0" w:color="auto"/>
          </w:divBdr>
          <w:divsChild>
            <w:div w:id="308360455">
              <w:marLeft w:val="0"/>
              <w:marRight w:val="0"/>
              <w:marTop w:val="0"/>
              <w:marBottom w:val="0"/>
              <w:divBdr>
                <w:top w:val="none" w:sz="0" w:space="0" w:color="auto"/>
                <w:left w:val="none" w:sz="0" w:space="0" w:color="auto"/>
                <w:bottom w:val="none" w:sz="0" w:space="0" w:color="auto"/>
                <w:right w:val="none" w:sz="0" w:space="0" w:color="auto"/>
              </w:divBdr>
              <w:divsChild>
                <w:div w:id="39971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228377">
      <w:bodyDiv w:val="1"/>
      <w:marLeft w:val="0"/>
      <w:marRight w:val="0"/>
      <w:marTop w:val="0"/>
      <w:marBottom w:val="0"/>
      <w:divBdr>
        <w:top w:val="none" w:sz="0" w:space="0" w:color="auto"/>
        <w:left w:val="none" w:sz="0" w:space="0" w:color="auto"/>
        <w:bottom w:val="none" w:sz="0" w:space="0" w:color="auto"/>
        <w:right w:val="none" w:sz="0" w:space="0" w:color="auto"/>
      </w:divBdr>
      <w:divsChild>
        <w:div w:id="1939411050">
          <w:marLeft w:val="0"/>
          <w:marRight w:val="0"/>
          <w:marTop w:val="0"/>
          <w:marBottom w:val="0"/>
          <w:divBdr>
            <w:top w:val="none" w:sz="0" w:space="0" w:color="auto"/>
            <w:left w:val="none" w:sz="0" w:space="0" w:color="auto"/>
            <w:bottom w:val="none" w:sz="0" w:space="0" w:color="auto"/>
            <w:right w:val="none" w:sz="0" w:space="0" w:color="auto"/>
          </w:divBdr>
          <w:divsChild>
            <w:div w:id="708844689">
              <w:marLeft w:val="0"/>
              <w:marRight w:val="0"/>
              <w:marTop w:val="0"/>
              <w:marBottom w:val="0"/>
              <w:divBdr>
                <w:top w:val="none" w:sz="0" w:space="0" w:color="auto"/>
                <w:left w:val="none" w:sz="0" w:space="0" w:color="auto"/>
                <w:bottom w:val="none" w:sz="0" w:space="0" w:color="auto"/>
                <w:right w:val="none" w:sz="0" w:space="0" w:color="auto"/>
              </w:divBdr>
              <w:divsChild>
                <w:div w:id="448469925">
                  <w:marLeft w:val="0"/>
                  <w:marRight w:val="0"/>
                  <w:marTop w:val="0"/>
                  <w:marBottom w:val="0"/>
                  <w:divBdr>
                    <w:top w:val="none" w:sz="0" w:space="0" w:color="auto"/>
                    <w:left w:val="none" w:sz="0" w:space="0" w:color="auto"/>
                    <w:bottom w:val="none" w:sz="0" w:space="0" w:color="auto"/>
                    <w:right w:val="none" w:sz="0" w:space="0" w:color="auto"/>
                  </w:divBdr>
                  <w:divsChild>
                    <w:div w:id="1049767486">
                      <w:marLeft w:val="0"/>
                      <w:marRight w:val="0"/>
                      <w:marTop w:val="0"/>
                      <w:marBottom w:val="0"/>
                      <w:divBdr>
                        <w:top w:val="none" w:sz="0" w:space="0" w:color="auto"/>
                        <w:left w:val="none" w:sz="0" w:space="0" w:color="auto"/>
                        <w:bottom w:val="none" w:sz="0" w:space="0" w:color="auto"/>
                        <w:right w:val="none" w:sz="0" w:space="0" w:color="auto"/>
                      </w:divBdr>
                      <w:divsChild>
                        <w:div w:id="1148790184">
                          <w:marLeft w:val="0"/>
                          <w:marRight w:val="0"/>
                          <w:marTop w:val="0"/>
                          <w:marBottom w:val="0"/>
                          <w:divBdr>
                            <w:top w:val="none" w:sz="0" w:space="0" w:color="auto"/>
                            <w:left w:val="none" w:sz="0" w:space="0" w:color="auto"/>
                            <w:bottom w:val="none" w:sz="0" w:space="0" w:color="auto"/>
                            <w:right w:val="none" w:sz="0" w:space="0" w:color="auto"/>
                          </w:divBdr>
                          <w:divsChild>
                            <w:div w:id="710108819">
                              <w:marLeft w:val="0"/>
                              <w:marRight w:val="300"/>
                              <w:marTop w:val="180"/>
                              <w:marBottom w:val="0"/>
                              <w:divBdr>
                                <w:top w:val="none" w:sz="0" w:space="0" w:color="auto"/>
                                <w:left w:val="none" w:sz="0" w:space="0" w:color="auto"/>
                                <w:bottom w:val="none" w:sz="0" w:space="0" w:color="auto"/>
                                <w:right w:val="none" w:sz="0" w:space="0" w:color="auto"/>
                              </w:divBdr>
                              <w:divsChild>
                                <w:div w:id="3456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44947">
          <w:marLeft w:val="0"/>
          <w:marRight w:val="0"/>
          <w:marTop w:val="0"/>
          <w:marBottom w:val="0"/>
          <w:divBdr>
            <w:top w:val="none" w:sz="0" w:space="0" w:color="auto"/>
            <w:left w:val="none" w:sz="0" w:space="0" w:color="auto"/>
            <w:bottom w:val="none" w:sz="0" w:space="0" w:color="auto"/>
            <w:right w:val="none" w:sz="0" w:space="0" w:color="auto"/>
          </w:divBdr>
          <w:divsChild>
            <w:div w:id="1316180740">
              <w:marLeft w:val="0"/>
              <w:marRight w:val="0"/>
              <w:marTop w:val="0"/>
              <w:marBottom w:val="0"/>
              <w:divBdr>
                <w:top w:val="none" w:sz="0" w:space="0" w:color="auto"/>
                <w:left w:val="none" w:sz="0" w:space="0" w:color="auto"/>
                <w:bottom w:val="none" w:sz="0" w:space="0" w:color="auto"/>
                <w:right w:val="none" w:sz="0" w:space="0" w:color="auto"/>
              </w:divBdr>
              <w:divsChild>
                <w:div w:id="49352964">
                  <w:marLeft w:val="0"/>
                  <w:marRight w:val="0"/>
                  <w:marTop w:val="0"/>
                  <w:marBottom w:val="0"/>
                  <w:divBdr>
                    <w:top w:val="none" w:sz="0" w:space="0" w:color="auto"/>
                    <w:left w:val="none" w:sz="0" w:space="0" w:color="auto"/>
                    <w:bottom w:val="none" w:sz="0" w:space="0" w:color="auto"/>
                    <w:right w:val="none" w:sz="0" w:space="0" w:color="auto"/>
                  </w:divBdr>
                  <w:divsChild>
                    <w:div w:id="2141537355">
                      <w:marLeft w:val="0"/>
                      <w:marRight w:val="0"/>
                      <w:marTop w:val="0"/>
                      <w:marBottom w:val="0"/>
                      <w:divBdr>
                        <w:top w:val="none" w:sz="0" w:space="0" w:color="auto"/>
                        <w:left w:val="none" w:sz="0" w:space="0" w:color="auto"/>
                        <w:bottom w:val="none" w:sz="0" w:space="0" w:color="auto"/>
                        <w:right w:val="none" w:sz="0" w:space="0" w:color="auto"/>
                      </w:divBdr>
                      <w:divsChild>
                        <w:div w:id="81749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5</Pages>
  <Words>2235</Words>
  <Characters>12741</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Russo</dc:creator>
  <cp:keywords/>
  <dc:description/>
  <cp:lastModifiedBy>Martina Russo</cp:lastModifiedBy>
  <cp:revision>6</cp:revision>
  <dcterms:created xsi:type="dcterms:W3CDTF">2019-03-12T11:58:00Z</dcterms:created>
  <dcterms:modified xsi:type="dcterms:W3CDTF">2019-03-26T10:58:00Z</dcterms:modified>
</cp:coreProperties>
</file>